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f85" w14:textId="1d2c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2021 жылғы 19 тамыздағы № 76 "Махамбет ауданы бойынша ауылдық округтердегі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Махамбет аудандық мәслихатының 2022 жылғы 6 сәуірдегі № 127 шешімі</w:t>
      </w:r>
    </w:p>
    <w:p>
      <w:pPr>
        <w:spacing w:after="0"/>
        <w:ind w:left="0"/>
        <w:jc w:val="both"/>
      </w:pPr>
      <w:bookmarkStart w:name="z4" w:id="0"/>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Аудандық мәслихаттың "Махамбет ауданы бойынша ауылдық округтердегі жергілікті қоғамдастық жиналысының регламентін бекіту туралы" 2021 жылғы 19 тамыздағы № 76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3"/>
    <w:bookmarkStart w:name="z8" w:id="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9"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bookmarkEnd w:id="5"/>
    <w:bookmarkStart w:name="z10" w:id="6"/>
    <w:p>
      <w:pPr>
        <w:spacing w:after="0"/>
        <w:ind w:left="0"/>
        <w:jc w:val="both"/>
      </w:pPr>
      <w:r>
        <w:rPr>
          <w:rFonts w:ascii="Times New Roman"/>
          <w:b w:val="false"/>
          <w:i w:val="false"/>
          <w:color w:val="000000"/>
          <w:sz w:val="28"/>
        </w:rPr>
        <w:t>
      1) 10 мың халыққа дейін – жиналыстың 5-10 мүшесі;</w:t>
      </w:r>
    </w:p>
    <w:bookmarkEnd w:id="6"/>
    <w:bookmarkStart w:name="z11" w:id="7"/>
    <w:p>
      <w:pPr>
        <w:spacing w:after="0"/>
        <w:ind w:left="0"/>
        <w:jc w:val="both"/>
      </w:pPr>
      <w:r>
        <w:rPr>
          <w:rFonts w:ascii="Times New Roman"/>
          <w:b w:val="false"/>
          <w:i w:val="false"/>
          <w:color w:val="000000"/>
          <w:sz w:val="28"/>
        </w:rPr>
        <w:t>
      2) 10-15 мың халық – жиналыстың 11-15 мүшесі;</w:t>
      </w:r>
    </w:p>
    <w:bookmarkEnd w:id="7"/>
    <w:bookmarkStart w:name="z12" w:id="8"/>
    <w:p>
      <w:pPr>
        <w:spacing w:after="0"/>
        <w:ind w:left="0"/>
        <w:jc w:val="both"/>
      </w:pPr>
      <w:r>
        <w:rPr>
          <w:rFonts w:ascii="Times New Roman"/>
          <w:b w:val="false"/>
          <w:i w:val="false"/>
          <w:color w:val="000000"/>
          <w:sz w:val="28"/>
        </w:rPr>
        <w:t>
      3) 15-20 мың халық – жиналыстың 16-20 мүшесі;</w:t>
      </w:r>
    </w:p>
    <w:bookmarkEnd w:id="8"/>
    <w:bookmarkStart w:name="z13" w:id="9"/>
    <w:p>
      <w:pPr>
        <w:spacing w:after="0"/>
        <w:ind w:left="0"/>
        <w:jc w:val="both"/>
      </w:pPr>
      <w:r>
        <w:rPr>
          <w:rFonts w:ascii="Times New Roman"/>
          <w:b w:val="false"/>
          <w:i w:val="false"/>
          <w:color w:val="000000"/>
          <w:sz w:val="28"/>
        </w:rPr>
        <w:t>
      4) 20 мыңнан астам халық – жиналыстың 21-25 мүшесі.</w:t>
      </w:r>
    </w:p>
    <w:bookmarkEnd w:id="9"/>
    <w:bookmarkStart w:name="z14"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5" w:id="1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8"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9" w:id="1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4"/>
    <w:bookmarkStart w:name="z20"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округтер бюджетін түзетуді келісу;</w:t>
      </w:r>
    </w:p>
    <w:bookmarkEnd w:id="15"/>
    <w:bookmarkStart w:name="z21" w:id="1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
    <w:bookmarkStart w:name="z23" w:id="1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
    <w:bookmarkStart w:name="z24" w:id="1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 ауылдық округтер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 әкіміне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шақырылған жиналысқа аудандық мәслихаттың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39" w:id="3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2"/>
    <w:bookmarkStart w:name="z42" w:id="3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3"/>
    <w:bookmarkStart w:name="z43" w:id="3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4"/>
    <w:bookmarkStart w:name="z44" w:id="35"/>
    <w:p>
      <w:pPr>
        <w:spacing w:after="0"/>
        <w:ind w:left="0"/>
        <w:jc w:val="both"/>
      </w:pPr>
      <w:r>
        <w:rPr>
          <w:rFonts w:ascii="Times New Roman"/>
          <w:b w:val="false"/>
          <w:i w:val="false"/>
          <w:color w:val="000000"/>
          <w:sz w:val="28"/>
        </w:rPr>
        <w:t>
      Ауылдық округ әкімі екі жұмыс күні ішінде аудан әкімнің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5"/>
    <w:bookmarkStart w:name="z45" w:id="3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ауылдық округ әкімімен және жергілікті қоғамдастық жиналысының арасында келіспеушілік туындаған жағдайда аудандық мәслихаттың таяудағы отырысында алдын ала талқылаудан және оның шешімінен кейін аудан әкімі шешім қабылдайды.".</w:t>
      </w:r>
    </w:p>
    <w:bookmarkEnd w:id="36"/>
    <w:bookmarkStart w:name="z46" w:id="3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