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953a" w14:textId="0279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2018 жылғы 12 наурыздағы № 20-1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24 ақпандағы № 15-3 шешімі. Күші жойылды - Солтүстік Қазақстан облысы Ғабит Мүсірепов атындағы ауданы мәслихатының 2023 жылғы 31 наурыздағы № 2-4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31.03.2023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2018 жылғы 12 наурыздағы № 20-1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Ғабит Мүсірепов атындағы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3"/>
    <w:bookmarkStart w:name="z9" w:id="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 бойынша маман және "Солтүстік Қазақстан облысы Ғабит Мүсірепов атындағы ауданы мәслихаты аппараты" коммуналдық мемлекеттік мекемесі "Б" корпусының басқа екі қызметшісімен қол қойылған акт толтырылады.</w:t>
      </w:r>
    </w:p>
    <w:bookmarkEnd w:id="5"/>
    <w:bookmarkStart w:name="z12" w:id="6"/>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bookmarkStart w:name="z14"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