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245a" w14:textId="afc2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Кеңтүбек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8/19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5-тармағына,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Кеңтүбек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Кеңтүбек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10/40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8/19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Кеңтүбек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Кеңтүбек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Кеңтүбек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Кеңтүбек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Кеңтүбек ауылдық округінің аумағы: Кеңтүбек ауылы, Ферма 1, Ферма 3 бөлімшелеріне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Кеңтүбек ауылынан 3 (үш) адам, Ферма 1 бөлімшесінен 1 (бір) адам және Ферма 3 бөлімшесінен 1(бір) адам өкілдер болып сайланады.</w:t>
      </w:r>
    </w:p>
    <w:p>
      <w:pPr>
        <w:spacing w:after="0"/>
        <w:ind w:left="0"/>
        <w:jc w:val="both"/>
      </w:pPr>
      <w:r>
        <w:rPr>
          <w:rFonts w:ascii="Times New Roman"/>
          <w:b w:val="false"/>
          <w:i w:val="false"/>
          <w:color w:val="000000"/>
          <w:sz w:val="28"/>
        </w:rPr>
        <w:t>
      5. Жергілікті қоғамдастықтың бөлек жиынын Кеңтүбек ауылдық округінің әкімі шақырады және ұйымдастырады.</w:t>
      </w:r>
    </w:p>
    <w:p>
      <w:pPr>
        <w:spacing w:after="0"/>
        <w:ind w:left="0"/>
        <w:jc w:val="both"/>
      </w:pPr>
      <w:r>
        <w:rPr>
          <w:rFonts w:ascii="Times New Roman"/>
          <w:b w:val="false"/>
          <w:i w:val="false"/>
          <w:color w:val="000000"/>
          <w:sz w:val="28"/>
        </w:rPr>
        <w:t>
      6. Кеңтүбек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Кеңтүбек ауылдық округ әкімі бұқаралық ақпарат құралдары, Instagram, Facebook және Whats’App әлеуметтік желілері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Өздерінің тұрғылықты жерішегінде бөлек жергілікті қоғамдастық жиынын өткізуді Кеңтүбек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Кеңтүбек ауылдық округ әкімі немесе ол уәкілеттік берген тұлға ашады.</w:t>
      </w:r>
    </w:p>
    <w:p>
      <w:pPr>
        <w:spacing w:after="0"/>
        <w:ind w:left="0"/>
        <w:jc w:val="both"/>
      </w:pPr>
      <w:r>
        <w:rPr>
          <w:rFonts w:ascii="Times New Roman"/>
          <w:b w:val="false"/>
          <w:i w:val="false"/>
          <w:color w:val="000000"/>
          <w:sz w:val="28"/>
        </w:rPr>
        <w:t>
      Кеңтүбек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Кеңтүбек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Кеңтүбек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Кеңтүбек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Кеңтүбек ауылы үшін – 3 адам;</w:t>
      </w:r>
    </w:p>
    <w:p>
      <w:pPr>
        <w:spacing w:after="0"/>
        <w:ind w:left="0"/>
        <w:jc w:val="both"/>
      </w:pPr>
      <w:r>
        <w:rPr>
          <w:rFonts w:ascii="Times New Roman"/>
          <w:b w:val="false"/>
          <w:i w:val="false"/>
          <w:color w:val="000000"/>
          <w:sz w:val="28"/>
        </w:rPr>
        <w:t>
      Ферма 1 бөлімшесі үшін – 1 адам;</w:t>
      </w:r>
    </w:p>
    <w:p>
      <w:pPr>
        <w:spacing w:after="0"/>
        <w:ind w:left="0"/>
        <w:jc w:val="both"/>
      </w:pPr>
      <w:r>
        <w:rPr>
          <w:rFonts w:ascii="Times New Roman"/>
          <w:b w:val="false"/>
          <w:i w:val="false"/>
          <w:color w:val="000000"/>
          <w:sz w:val="28"/>
        </w:rPr>
        <w:t>
      Ферма 3 бөлімшесі үшін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