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c857" w14:textId="4f9c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Шарбақты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4 қазандағы № 1-03/266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Шарбақты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Шарбақты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А. А. Машраповқа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"4" қазандағы № 1-03/266</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"Аққулы ауданының Шарбақты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Шарбақты ауылдық округі әкімінің аппараты" мемлекеттік мекемесі (бұдан әрі - әкімнің аппараты), Аққулы ауданының Шарбақты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xml:space="preserve">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Шарбақты ауылдық округі әкімінің аппараты" мемлекеттік мекемесі, орыс тілінде - государственное учреждение "Аппарат акима Шарбактинского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140709, Павлодар облысы, Аққулы ауданы, Шарбақты ауылы, Бейбітшілік көшесі, 16А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Шарбақты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Шарбақты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Шарбақты ауылдық округі бюджетінің атқарылуы туралы есепті ұсынады;</w:t>
      </w:r>
    </w:p>
    <w:p>
      <w:pPr>
        <w:spacing w:after="0"/>
        <w:ind w:left="0"/>
        <w:jc w:val="both"/>
      </w:pPr>
      <w:r>
        <w:rPr>
          <w:rFonts w:ascii="Times New Roman"/>
          <w:b w:val="false"/>
          <w:i w:val="false"/>
          <w:color w:val="000000"/>
          <w:sz w:val="28"/>
        </w:rPr>
        <w:t>
      Шарбақты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Шарбақты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Шарбақты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мен өзге де мәмілелер жасасуға құқылы.</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Әкімі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Шарбақты ауылдық округінiң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xml:space="preserve">
      14) мүгедектігі бар адамдарға көмек көрсетуді ұйымдастырады; </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xml:space="preserve">
      16)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17) мүгедектігі бар адамдардың қоғамдық бірлестіктерімен бірлесе отырып,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18)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50)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xml:space="preserve">
      81) ақпараттандыру саласындағы уәкілетті органмен келісу бойынша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xml:space="preserve">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Кодексіне, "Қазақстан Республикасының мемлекеттік қызмет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 аппаратының мүлкі</w:t>
      </w:r>
    </w:p>
    <w:bookmarkEnd w:id="9"/>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Малыбай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