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e6c4" w14:textId="9b1e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Жамбыл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13 шілдедегі № 1-03/180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Жамбыл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Жамбыл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Т.Т. Қобайдаровқа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"13" шілдедегі</w:t>
            </w:r>
            <w:r>
              <w:br/>
            </w:r>
            <w:r>
              <w:rPr>
                <w:rFonts w:ascii="Times New Roman"/>
                <w:b w:val="false"/>
                <w:i w:val="false"/>
                <w:color w:val="000000"/>
                <w:sz w:val="20"/>
              </w:rPr>
              <w:t>№ 1-03/180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Жамбыл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Жамбыл ауылдық округі әкімінің аппараты" мемлекеттік мекемесі (бұдан әрі - әкімнің аппараты), Аққулы ауданының Жамбыл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Жамбыл ауылдық округі әкімінің аппараты" мемлекеттік мекемесі, орыс тілінде - государственное учреждение "Аппарат акима Жамбылского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140703, Аққулы ауданы, Жамбыл ауылы, Бейбітшілік көшесі, 15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Әкімінің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Жамбыл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Жамбыл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Жамбыл ауылдық округі бюджетінің атқарылуы туралы есепті ұсынады;</w:t>
      </w:r>
    </w:p>
    <w:p>
      <w:pPr>
        <w:spacing w:after="0"/>
        <w:ind w:left="0"/>
        <w:jc w:val="both"/>
      </w:pPr>
      <w:r>
        <w:rPr>
          <w:rFonts w:ascii="Times New Roman"/>
          <w:b w:val="false"/>
          <w:i w:val="false"/>
          <w:color w:val="000000"/>
          <w:sz w:val="28"/>
        </w:rPr>
        <w:t>
      Жамбыл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Жамбыл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Жамбыл ауылдық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Жамбыл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Жамбыл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Жамбыл ауылдық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Жамбыл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Жамбыл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Жамбыл ауылдық округінiң коммуналдық тұрғын үй қорының сақталуын, сондай-ақ ауылдық округтің, ауылдың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10) әділет органдары жоқ жергілікті жерлердегі ауылдық округтің әкімі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50)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өз өкілеттіктері шеңберінде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62)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аумағындағы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ауылдарға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ауылдардың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аумақ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мүгедектермен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81)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83)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тағайындалады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Әкім болмаған кезінде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Республикасының "Қазақстан Республикасындағы жергілікті мемлекеттік басқару және өзін-өзі басқару туралы" және "Қазақстан Республикасының мемлекеттік қызметі туралы" Заңдарымен реттеледі.</w:t>
      </w:r>
    </w:p>
    <w:p>
      <w:pPr>
        <w:spacing w:after="0"/>
        <w:ind w:left="0"/>
        <w:jc w:val="both"/>
      </w:pPr>
      <w:r>
        <w:rPr>
          <w:rFonts w:ascii="Times New Roman"/>
          <w:b w:val="false"/>
          <w:i w:val="false"/>
          <w:color w:val="000000"/>
          <w:sz w:val="28"/>
        </w:rPr>
        <w:t>
      30. Әкім аппаратының әкімшілігі мен еңбек ұжымы өзара қарым-қатынас Қазақстан Республикасының Еңбек Кодексіне, "Қазақстан Республикасының мемлекеттік қызмет туралы" Қазақстан Республикасының Заңымен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Әкімінің аппаратының мүлкі</w:t>
      </w:r>
    </w:p>
    <w:bookmarkEnd w:id="9"/>
    <w:p>
      <w:pPr>
        <w:spacing w:after="0"/>
        <w:ind w:left="0"/>
        <w:jc w:val="both"/>
      </w:pPr>
      <w:r>
        <w:rPr>
          <w:rFonts w:ascii="Times New Roman"/>
          <w:b w:val="false"/>
          <w:i w:val="false"/>
          <w:color w:val="000000"/>
          <w:sz w:val="28"/>
        </w:rPr>
        <w:t xml:space="preserve">
      31.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