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1d6a" w14:textId="c381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Баймолдин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9 қыркүйектегі № 1-03/233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Баймолдин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Баймолдин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 А. 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1-03/233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Баймолдин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Баймолдин ауылдық округі әкімінің аппараты" мемлекеттік мекемесі (бұдан әрі - әкімнің аппараты), Аққулы ауданының Баймолдин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Баймолдин ауылдық округі әкімінің аппараты" мемлекеттік мекемесі, орыс тілінде - государственное учреждение "Аппарат акима Баймульдинского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140702, Павлодар облысы, Аққулы ауданы, Әбілқайыр Баймолдин Атындағы ауылы Баймолдин көшесі, 2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Баймолдин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Баймолдин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Баймолдин ауылдық округі бюджетінің атқарылуы туралы есепті ұсынады;</w:t>
      </w:r>
    </w:p>
    <w:p>
      <w:pPr>
        <w:spacing w:after="0"/>
        <w:ind w:left="0"/>
        <w:jc w:val="both"/>
      </w:pPr>
      <w:r>
        <w:rPr>
          <w:rFonts w:ascii="Times New Roman"/>
          <w:b w:val="false"/>
          <w:i w:val="false"/>
          <w:color w:val="000000"/>
          <w:sz w:val="28"/>
        </w:rPr>
        <w:t>
      Баймолдин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Баймолдин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Баймолдин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Баймолдин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xml:space="preserve">
      16)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xml:space="preserve">
      81) ақпараттандыру саласындағы уәкілетті органмен келісу бойынша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Баймолдин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