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b2f2" w14:textId="001b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 қарашадағы № 1759/3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 xml:space="preserve">4-тармағының </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 347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бойынша коммуналдық қалдықтардың түзілу және жинақталу нормаларын есептеудің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Павлодар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қарашадағы</w:t>
            </w:r>
            <w:r>
              <w:br/>
            </w:r>
            <w:r>
              <w:rPr>
                <w:rFonts w:ascii="Times New Roman"/>
                <w:b w:val="false"/>
                <w:i w:val="false"/>
                <w:color w:val="000000"/>
                <w:sz w:val="20"/>
              </w:rPr>
              <w:t>№ 1759/3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үлгілік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 347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коммуналдық қалдықтардың түзілу және жинақталу нормаларын есептеу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Start w:name="z29" w:id="2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7"/>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0" w:id="28"/>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8"/>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1" w:id="2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Насан</w:t>
            </w:r>
          </w:p>
        </w:tc>
      </w:tr>
    </w:tbl>
    <w:bookmarkStart w:name="z35" w:id="31"/>
    <w:p>
      <w:pPr>
        <w:spacing w:after="0"/>
        <w:ind w:left="0"/>
        <w:jc w:val="left"/>
      </w:pPr>
      <w:r>
        <w:rPr>
          <w:rFonts w:ascii="Times New Roman"/>
          <w:b/>
          <w:i w:val="false"/>
          <w:color w:val="000000"/>
        </w:rPr>
        <w:t xml:space="preserve"> Тұрғын үй қоры объектісінің коммуналдық паспорты</w:t>
      </w:r>
    </w:p>
    <w:bookmarkEnd w:id="31"/>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6" w:id="32"/>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32"/>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38" w:id="33"/>
    <w:p>
      <w:pPr>
        <w:spacing w:after="0"/>
        <w:ind w:left="0"/>
        <w:jc w:val="left"/>
      </w:pPr>
      <w:r>
        <w:rPr>
          <w:rFonts w:ascii="Times New Roman"/>
          <w:b/>
          <w:i w:val="false"/>
          <w:color w:val="000000"/>
        </w:rPr>
        <w:t xml:space="preserve"> Бастапқы жазба бланкісі</w:t>
      </w:r>
    </w:p>
    <w:bookmarkEnd w:id="33"/>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4"/>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