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353e" w14:textId="4023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1 қарашадағы № 334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2023 жылға арналған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2023 жылға арналған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