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bec0" w14:textId="25fb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Новонежин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97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Новонежин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Новонежин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Новонежин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Новонежин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Новонежин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Новонежин ауылдық округінің жергілікті қоғамдастықтың жиындарына қатысу үшін ауыл тұрғындар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148 шешімімен бекітілген" деген сөздер "Мәслихаттың 2014 жылғы 19 наурыздағы № 148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148 шешіміне қосымша" деген сөздер "Мәслихаттың 2014 жылғы 19 наурыздағы № 148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Новонежин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Новонежин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Новонежин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Новонежин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Новонежин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Новонежин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Новонежин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Новонежин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Новонежин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Новонежин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Новонежин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Пришкольная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Лиманная, Кузнечная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 20 лет Целины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Молодежная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 восточная көшесі, ГРП западная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