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a007" w14:textId="3dda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Восточный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"Ауылдық маңызы бар қала, ауыл, кент, ауылдық округ әкімінің аппараты туралы үлгілік ережені бекіту туралы" бұйрығына және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Восточный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Восточный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348 "Арқалық қаласы Восточный ауылы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Восточный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Восточный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Восточный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Восточный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Восточный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Восточный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Восточный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Восточный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Восточный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110307, Қазақстан Республикасы, Қостанай облысы, Арқалық қаласы, Восточный ауылы, Советская көшесі, 6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Восточный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Восточный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Восточный ауылы әкімінің аппараты" мемлекеттік мекемесіне кәсіпкерлік субъектілерімен "Арқалық қаласы Восточный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Восточный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Восточный ауылының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Восточный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Восточный ауылының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Восточный ауылы әкімінің аппараты" мемлекеттік мекемесін басқаруды ауыл әкімі жүзеге асырады, ол "Арқалық қаласы Восточный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Восточный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Восточный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Восточный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Восточный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Восточный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Восточный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Восточный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Восточный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Восточный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Восточный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Восточный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Восточный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Восточный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Восточный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