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0b2b" w14:textId="5890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тауарына бөлшек сауда бағасының шекті рұқсат етілген мөлшерін бекіту туралы</w:t>
      </w:r>
    </w:p>
    <w:p>
      <w:pPr>
        <w:spacing w:after="0"/>
        <w:ind w:left="0"/>
        <w:jc w:val="both"/>
      </w:pPr>
      <w:r>
        <w:rPr>
          <w:rFonts w:ascii="Times New Roman"/>
          <w:b w:val="false"/>
          <w:i w:val="false"/>
          <w:color w:val="000000"/>
          <w:sz w:val="28"/>
        </w:rPr>
        <w:t>Қостанай облысы әкімдігінің 2022 жылғы 22 қарашадағы № 514 қаулысы</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30 наурыздағы № 282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маңызы бар азық-түлік тауарына бөлшек сауда бағасының шекті рұқсат етілген мөлшері күнтізбелік отыз күн мерзімге, оны кем дегенде күнтізбелік 15 күннен кейін қайта қарау мүмкіндігімен – ас тұзы – килограмы үшін 55 теңге болып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