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229b" w14:textId="6a2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28 желтоқсандағы XII сессиясының "2022-2024 жылдарға арналған кенттер, ауылдық округтер бюджеттері туралы"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2022 жылғы 30 мамырдағы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"2022-2024 жылдарға арналған кенттер, ауылдық округтер бюджеттері туралы" 2021 жылғы 28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222 148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213 678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222 860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210 193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198 189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210 204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135 371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135 152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135 436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38 115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42 194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38 229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41 760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1 557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40 203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55 776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-14 016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14 016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14 016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50 849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50 455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50 852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48 196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47 472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37 469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36 105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37 469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38 015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34 674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57 389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52 058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62 056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-4 667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4 667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4 667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59 037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57 803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59 038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44 968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43 903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44 968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43 298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38 633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43 301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43 203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41 780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2022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2022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2022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2022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2022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2022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2022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2022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2022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2022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