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244" w14:textId="3712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Шұбаркөл кентінің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Шұбаркөл кентінің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Шұбаркөл кентінің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Шұбаркөл кентінің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Шұбаркөл кентінің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39-3-бабына, сондай-ақ жергілікті қоғамдастықтың бөлек жиындарын өткізудің үлгілік ережелеріне сәйкес әзірленді, Қазақстан Республикасы Үкіметінің 2013 жылғы 18 қазандағы № 1106 қаулысымен бекітілген және Қарағанды облысы Нұра ауданы Шұбаркөл кентінің (одан әрі – Шұбаркөл кенті)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Шұбаркөл кентінің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Шұбаркөл кентінің аумағы: Шұбаркөл кентінің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Шұбаркөл кентінің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Шұбаркөл кентінің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Шұбаркөл кентінің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Шұбаркөл кентінің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Шұбаркөл кентінің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Шұбаркөл кентінде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Шұбаркөл кентінің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Шұбаркөл кентінің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Шұбаркөл кентінің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Шұбаркөл кенті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Шұбаркөл кентінің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