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deff7" w14:textId="90d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29 шілдедегі № 149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"2022-2024 жылдарға арналған ауылдар, кенттер және ауылдық округтердің бюджеті туралы" 2021 жылғы 23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212 836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187 732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212 836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32 491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32 838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33 138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36 450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32 784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36 450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5 571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30 235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36 273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18 955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17 345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19 019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28 950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25 713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29 619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32 738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6 398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24 430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33 388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29 069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– 2024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29 700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28 176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41 197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-11 497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11 497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11 497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21 285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24 775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– 2024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21 187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14 737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6 450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21 611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424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2022 – 2024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29 382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2 397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26 985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30 882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1 500 мың теңге.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6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6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27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7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27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28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28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28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29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29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ауылының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