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3c97" w14:textId="2a8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2021 жылғы 24 желтоқсандағы № VII-14/113 "2022-2024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30 наурыздағы № VII-17/138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2021 жылғы 24 желтоқсандағы № VII-14/113 "2022-2024 жылдарға арналған аудандық маңызы бар қала, кент, ауылдық округтердің бюджеттері туралы" (Нормативтік құқықтық актілерді мемлекеттік тіркеу тізілімінде № 163228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369651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344835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438954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- 69303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69303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206937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201108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213737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77360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73325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80146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45964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45704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45966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52568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50509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53019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44609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43611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44610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46600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45535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47500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50428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48373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51343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60996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58221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60999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36759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35284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37156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45944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45743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45945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53691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51501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55566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56112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55245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56113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49744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48417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51345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58822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56188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59980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- 1158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1158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56496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56051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56497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54402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53319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54403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40703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1241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39441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41201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43190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41564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44471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- 1281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1281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1281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42922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41936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43479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557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71775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2234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69541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74096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- 2321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2321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44092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43404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44093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Қарқаралы қаласының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3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Қарағайлы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3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4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Қасым Аманжолов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Нұркен Әбдіров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4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Балқантау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5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5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Бесоба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5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Ынталы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6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6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Қайнарбұлақ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6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6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Қаршығалы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7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Мартбек Мамыраев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7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Мәди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7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Нығмет Нұрмақов атындағы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8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Тәттімбет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48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Тегісшілдік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8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Томар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49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Шарықты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9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Угар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наурызындағы №VII- 17/138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9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