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ed7b" w14:textId="6eee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Орынбай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21/152 шешімі. Күші жойылды - Ұлытау облысы Жаңаарқа аудандық мәслихатының 2023 жылғы 19 қазандағы № 8/65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8/65</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Орынбай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Орынбай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21/152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Орынбай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ауданының Орынбай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Орынбай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Орынбай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Орынбай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Орынбай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Орынбай ауылдық округінің әкімі немесе ол уәкілеттік берген тұлға ашады. Орынбай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Орынбай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№21/152</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Орынбай ауылдық округінің бөлек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