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6271" w14:textId="20a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13 сессиясының 2021 жылғы 28 желтоқсандағы № 7 "2022-2024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1 тамыздағы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2021 жылғы 28 желтоқсаңдағы №7 "2022-2024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422 128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24 410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396 978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426 941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129 917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234 682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17 370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216 090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236 091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185 194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24 940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159 597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186 739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43 260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146 614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13 045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6 300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127 269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148 360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72 602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3 354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69 248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73 494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112 873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7 328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105 545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114 010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73 397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7 346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66 051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74 065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126 558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7 447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118 386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127 194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159 516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26 470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1 402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131 471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162 838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57 966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56 450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58 843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33 092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2 007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31 085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33 188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40 068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1 678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38 390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41 148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28 098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37 349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1 407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35 942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37 523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32 002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47 075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44 775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47 404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38 752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1 238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37 202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39 235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23 649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57 429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56 108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57 429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35 467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62 835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2 069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60 766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62 998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73 502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3 311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70 191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73 700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53 690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4 678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49 012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54 937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67 085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2 582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64 143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67 181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69 929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8 375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59 654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70 973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–1 044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68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75 311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4 033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71 278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75 566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41 883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1 203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40 680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41 883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50 701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5 512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5 214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39 975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51 274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27 506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83 708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3 479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80 229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84 082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38 941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64 003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62 295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64 752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749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2022-2024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71 791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8 202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63 589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72 336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мың теңге.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58 981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44 387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14 594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60 741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8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кенті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9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9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49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Керней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0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0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1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1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1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Ақөре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2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01 тамыздағы№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2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2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 жырау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3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Гагарин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3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3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Қаражар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4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4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Қызылқайың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4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Самарканд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5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Суықсу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5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Тоғызқұдық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5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Тұзды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6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6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Центральный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6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