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d45" w14:textId="a5e1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15 қарашадағы № 34/218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459 862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64 719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395 022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481 107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- 21 245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21 245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21 245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60 676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58 773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61 410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47 103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42 342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49 403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46 651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45 641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46 651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47 062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2 571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44 491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48 227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1 165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1 165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75 344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71 334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77 133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1 789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1 789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43 843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39 846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44 452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51 622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2 163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48 789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51 622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41 816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8 477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44 305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2 489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2 489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45 415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43 320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45 415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2 734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36 701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39 435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55 188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10 161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44 292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57 078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1 890 мың теңге.";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40 950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433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38 617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6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Мұқажан Жұмажанов атындағы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Қараағаш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кентінің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Сейфуллин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аудандық, (облыстық маңызы бар қаланың),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9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Орынбай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 №34/218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29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ағымдағы трансферттер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