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f910" w14:textId="7b3f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Қордай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Қордай аудандық мәслихатының 2022 жылғы 14 ақпандағы № 20-4 шешімі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Республикасының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Қордай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әлеуметтік қолдау шараларын ұсыну мөлшері:</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