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2ce8" w14:textId="78f2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ішкі саясат және жастар істері жөніндегі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11 сәуірдегі № 571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39-баптарына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ішкі саясат және жастар істері жөніндегі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ішкі саясат және жастар істері жөніндегі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бірінші орынбасары Ш.Мұқанға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 ____ қаулысына қосымша</w:t>
            </w:r>
          </w:p>
        </w:tc>
      </w:tr>
    </w:tbl>
    <w:bookmarkStart w:name="z7" w:id="5"/>
    <w:p>
      <w:pPr>
        <w:spacing w:after="0"/>
        <w:ind w:left="0"/>
        <w:jc w:val="left"/>
      </w:pPr>
      <w:r>
        <w:rPr>
          <w:rFonts w:ascii="Times New Roman"/>
          <w:b/>
          <w:i w:val="false"/>
          <w:color w:val="000000"/>
        </w:rPr>
        <w:t xml:space="preserve"> "Шымкент қаласының ішкі саясат және жастар істері жөніндегі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ішкі саясат және жастар істері жөніндегі басқармасы" мемлекеттік мекемесі (бұдан әрі – Басқарма) ішкі саясат және жастар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ішкі саясат және жастар істері жөніндегі басқармасы" мемлекеттік мекемесі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"Шымкент қаласының ішкі саясат және жастар істері жөніндегі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Басқарманың мақсаты: қаладағы конфессияаралық келісім, жастар мәселесіндегі демократиялық, олардың құқықтары мен бостандықтарын, жынысына, ұлтына, әлеуметтік жағдайына және діни ұстанымына қарамастан сақтау, сондай-ақ азаматтық қоғам институттарын қолдау мен дамытуға, қаланың ақпараттық кеңістігінің бәсекеге қабілеттігін арттыруға бағытталған мемлекеттік саясатты тиімді жүзеге асыру болып табылады.</w:t>
      </w:r>
    </w:p>
    <w:bookmarkEnd w:id="20"/>
    <w:bookmarkStart w:name="z23" w:id="21"/>
    <w:p>
      <w:pPr>
        <w:spacing w:after="0"/>
        <w:ind w:left="0"/>
        <w:jc w:val="both"/>
      </w:pPr>
      <w:r>
        <w:rPr>
          <w:rFonts w:ascii="Times New Roman"/>
          <w:b w:val="false"/>
          <w:i w:val="false"/>
          <w:color w:val="000000"/>
          <w:sz w:val="28"/>
        </w:rPr>
        <w:t>
      14. Басқарманың өкілеттіктері:</w:t>
      </w:r>
    </w:p>
    <w:bookmarkEnd w:id="21"/>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сұратұға және алуға;</w:t>
      </w:r>
    </w:p>
    <w:p>
      <w:pPr>
        <w:spacing w:after="0"/>
        <w:ind w:left="0"/>
        <w:jc w:val="both"/>
      </w:pPr>
      <w:r>
        <w:rPr>
          <w:rFonts w:ascii="Times New Roman"/>
          <w:b w:val="false"/>
          <w:i w:val="false"/>
          <w:color w:val="000000"/>
          <w:sz w:val="28"/>
        </w:rPr>
        <w:t>
      Басқарманың қарамағындағы ұйымдарға, мемлекеттік мекемеге міндетті орындауға жататын тапсырмалар беруге;</w:t>
      </w:r>
    </w:p>
    <w:p>
      <w:pPr>
        <w:spacing w:after="0"/>
        <w:ind w:left="0"/>
        <w:jc w:val="both"/>
      </w:pPr>
      <w:r>
        <w:rPr>
          <w:rFonts w:ascii="Times New Roman"/>
          <w:b w:val="false"/>
          <w:i w:val="false"/>
          <w:color w:val="000000"/>
          <w:sz w:val="28"/>
        </w:rPr>
        <w:t>
      Басқарманың құзыретіне жататын мәселелер бойынша құқық қорғау органдарымен және өзге де мемлекеттік органдармен өзара іс-қимыл жасауға.</w:t>
      </w:r>
    </w:p>
    <w:p>
      <w:pPr>
        <w:spacing w:after="0"/>
        <w:ind w:left="0"/>
        <w:jc w:val="both"/>
      </w:pPr>
      <w:r>
        <w:rPr>
          <w:rFonts w:ascii="Times New Roman"/>
          <w:b w:val="false"/>
          <w:i w:val="false"/>
          <w:color w:val="000000"/>
          <w:sz w:val="28"/>
        </w:rPr>
        <w:t>
      Басқарманың кұзыретіне жататын мәселелер бойынша мәжілістер, семинарлар, конференциялар, дөңгелек үстелдер, кездесулер және өзге де отырыстар өткізу.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Үкіметінің және өзге де орталық атқарушы органдардың, сондай-ақ қала әкімі мен әкімдігінің актілері мен тапсырмаларын сапалы және уақытылы орындау. </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өңірлік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p>
      <w:pPr>
        <w:spacing w:after="0"/>
        <w:ind w:left="0"/>
        <w:jc w:val="both"/>
      </w:pPr>
      <w:r>
        <w:rPr>
          <w:rFonts w:ascii="Times New Roman"/>
          <w:b w:val="false"/>
          <w:i w:val="false"/>
          <w:color w:val="000000"/>
          <w:sz w:val="28"/>
        </w:rPr>
        <w:t>
      3)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негізінде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әзірлейді және бекітеді;</w:t>
      </w:r>
    </w:p>
    <w:p>
      <w:pPr>
        <w:spacing w:after="0"/>
        <w:ind w:left="0"/>
        <w:jc w:val="both"/>
      </w:pPr>
      <w:r>
        <w:rPr>
          <w:rFonts w:ascii="Times New Roman"/>
          <w:b w:val="false"/>
          <w:i w:val="false"/>
          <w:color w:val="000000"/>
          <w:sz w:val="28"/>
        </w:rPr>
        <w:t>
      4) мемлекеттік жастар саясатын іске асырады;</w:t>
      </w:r>
    </w:p>
    <w:p>
      <w:pPr>
        <w:spacing w:after="0"/>
        <w:ind w:left="0"/>
        <w:jc w:val="both"/>
      </w:pPr>
      <w:r>
        <w:rPr>
          <w:rFonts w:ascii="Times New Roman"/>
          <w:b w:val="false"/>
          <w:i w:val="false"/>
          <w:color w:val="000000"/>
          <w:sz w:val="28"/>
        </w:rPr>
        <w:t>
      5) өзекті проблемаларды анықтау және шешу, мемлекеттік жастар саясатын іске асырудың тиімділігін арттыру үшін мониторинг жүргізуді және жастардың қажеттіліктерін бағалауды қамтамасыз етеді;</w:t>
      </w:r>
    </w:p>
    <w:p>
      <w:pPr>
        <w:spacing w:after="0"/>
        <w:ind w:left="0"/>
        <w:jc w:val="both"/>
      </w:pPr>
      <w:r>
        <w:rPr>
          <w:rFonts w:ascii="Times New Roman"/>
          <w:b w:val="false"/>
          <w:i w:val="false"/>
          <w:color w:val="000000"/>
          <w:sz w:val="28"/>
        </w:rPr>
        <w:t>
      6)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7) жастар ресурстық орталықтарын құрады, олардың қызметін қамтамасыз етеді және үйлестіреді;</w:t>
      </w:r>
    </w:p>
    <w:p>
      <w:pPr>
        <w:spacing w:after="0"/>
        <w:ind w:left="0"/>
        <w:jc w:val="both"/>
      </w:pPr>
      <w:r>
        <w:rPr>
          <w:rFonts w:ascii="Times New Roman"/>
          <w:b w:val="false"/>
          <w:i w:val="false"/>
          <w:color w:val="000000"/>
          <w:sz w:val="28"/>
        </w:rPr>
        <w:t>
      8) өңірлік жастар форумын өткізуді қамтамасыз етеді;</w:t>
      </w:r>
    </w:p>
    <w:p>
      <w:pPr>
        <w:spacing w:after="0"/>
        <w:ind w:left="0"/>
        <w:jc w:val="both"/>
      </w:pPr>
      <w:r>
        <w:rPr>
          <w:rFonts w:ascii="Times New Roman"/>
          <w:b w:val="false"/>
          <w:i w:val="false"/>
          <w:color w:val="000000"/>
          <w:sz w:val="28"/>
        </w:rPr>
        <w:t>
      9) қазақстандық патриотизмді, конфессияаралық келісім мен этносаралық тағаттылықты нығайту жөнінде шаралар қолданады;</w:t>
      </w:r>
    </w:p>
    <w:p>
      <w:pPr>
        <w:spacing w:after="0"/>
        <w:ind w:left="0"/>
        <w:jc w:val="both"/>
      </w:pPr>
      <w:r>
        <w:rPr>
          <w:rFonts w:ascii="Times New Roman"/>
          <w:b w:val="false"/>
          <w:i w:val="false"/>
          <w:color w:val="000000"/>
          <w:sz w:val="28"/>
        </w:rPr>
        <w:t xml:space="preserve">
      10)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функцияларды жүзеге асырады;</w:t>
      </w:r>
    </w:p>
    <w:p>
      <w:pPr>
        <w:spacing w:after="0"/>
        <w:ind w:left="0"/>
        <w:jc w:val="both"/>
      </w:pPr>
      <w:r>
        <w:rPr>
          <w:rFonts w:ascii="Times New Roman"/>
          <w:b w:val="false"/>
          <w:i w:val="false"/>
          <w:color w:val="000000"/>
          <w:sz w:val="28"/>
        </w:rPr>
        <w:t>
      11) Қазақстан Республикасы мемлекеттік рәміздерінің тиісті әкімшілік-аумақтық бірліктің аумағында пайдаланылуын (тігілуін, орналастырылуын) бақылауды жүзеге асырады;</w:t>
      </w:r>
    </w:p>
    <w:p>
      <w:pPr>
        <w:spacing w:after="0"/>
        <w:ind w:left="0"/>
        <w:jc w:val="both"/>
      </w:pPr>
      <w:r>
        <w:rPr>
          <w:rFonts w:ascii="Times New Roman"/>
          <w:b w:val="false"/>
          <w:i w:val="false"/>
          <w:color w:val="000000"/>
          <w:sz w:val="28"/>
        </w:rPr>
        <w:t>
      12) тұрғындар арасында теле, радио бағдарламалардың кешенді талдауын және экспресс-талдауын жүргізеді;</w:t>
      </w:r>
    </w:p>
    <w:p>
      <w:pPr>
        <w:spacing w:after="0"/>
        <w:ind w:left="0"/>
        <w:jc w:val="both"/>
      </w:pPr>
      <w:r>
        <w:rPr>
          <w:rFonts w:ascii="Times New Roman"/>
          <w:b w:val="false"/>
          <w:i w:val="false"/>
          <w:color w:val="000000"/>
          <w:sz w:val="28"/>
        </w:rPr>
        <w:t>
      13) үкіметтік емес ұйымдардың қызметтеріне талдау жүргізу арқылы ортақ тенденцияларды анықтау және қоғамдағы қоғамдық-саяси ахуал жағдайларын болжайды;</w:t>
      </w:r>
    </w:p>
    <w:p>
      <w:pPr>
        <w:spacing w:after="0"/>
        <w:ind w:left="0"/>
        <w:jc w:val="both"/>
      </w:pPr>
      <w:r>
        <w:rPr>
          <w:rFonts w:ascii="Times New Roman"/>
          <w:b w:val="false"/>
          <w:i w:val="false"/>
          <w:color w:val="000000"/>
          <w:sz w:val="28"/>
        </w:rPr>
        <w:t>
      14) қоғамдық-саяси қарым-қатынастарды реттеуде биліктің барлық тармақтарымен өзара әрекет ету қағидаттарын қалыптастырады;</w:t>
      </w:r>
    </w:p>
    <w:p>
      <w:pPr>
        <w:spacing w:after="0"/>
        <w:ind w:left="0"/>
        <w:jc w:val="both"/>
      </w:pPr>
      <w:r>
        <w:rPr>
          <w:rFonts w:ascii="Times New Roman"/>
          <w:b w:val="false"/>
          <w:i w:val="false"/>
          <w:color w:val="000000"/>
          <w:sz w:val="28"/>
        </w:rPr>
        <w:t>
      15) Шымкент қаласының аумағындағы саяси партияларға, қоғамдық-саяси ұйымдарға және олардың филиалдарының қызметіне тұрақты мониторинг жүргізеді;</w:t>
      </w:r>
    </w:p>
    <w:p>
      <w:pPr>
        <w:spacing w:after="0"/>
        <w:ind w:left="0"/>
        <w:jc w:val="both"/>
      </w:pPr>
      <w:r>
        <w:rPr>
          <w:rFonts w:ascii="Times New Roman"/>
          <w:b w:val="false"/>
          <w:i w:val="false"/>
          <w:color w:val="000000"/>
          <w:sz w:val="28"/>
        </w:rPr>
        <w:t>
      16) саяси партиялармен, қоғамдық-саяси ұйымдармен және олардың филиалдарымен өзара әрекеттесу, Шымкент қаласының аумағында қоғамдық ұйымдармен өткізілетін іс-шараларға қатысады;</w:t>
      </w:r>
    </w:p>
    <w:p>
      <w:pPr>
        <w:spacing w:after="0"/>
        <w:ind w:left="0"/>
        <w:jc w:val="both"/>
      </w:pPr>
      <w:r>
        <w:rPr>
          <w:rFonts w:ascii="Times New Roman"/>
          <w:b w:val="false"/>
          <w:i w:val="false"/>
          <w:color w:val="000000"/>
          <w:sz w:val="28"/>
        </w:rPr>
        <w:t>
      17) үкіметтік емес ұйымдармен жұмыс жасау және олармен Шымкент қаласының аумағында өткізілетін іс-шараларға қатысады;</w:t>
      </w:r>
    </w:p>
    <w:p>
      <w:pPr>
        <w:spacing w:after="0"/>
        <w:ind w:left="0"/>
        <w:jc w:val="both"/>
      </w:pPr>
      <w:r>
        <w:rPr>
          <w:rFonts w:ascii="Times New Roman"/>
          <w:b w:val="false"/>
          <w:i w:val="false"/>
          <w:color w:val="000000"/>
          <w:sz w:val="28"/>
        </w:rPr>
        <w:t>
      18) ішкі саяси үдерістерге тұрақты мониторинг барысында алынған ақпаратты талдайды;</w:t>
      </w:r>
    </w:p>
    <w:p>
      <w:pPr>
        <w:spacing w:after="0"/>
        <w:ind w:left="0"/>
        <w:jc w:val="both"/>
      </w:pPr>
      <w:r>
        <w:rPr>
          <w:rFonts w:ascii="Times New Roman"/>
          <w:b w:val="false"/>
          <w:i w:val="false"/>
          <w:color w:val="000000"/>
          <w:sz w:val="28"/>
        </w:rPr>
        <w:t>
      19) қоғамдық жерлерде (саябақтар, шағын гүлбақтар), мәдениет ескерткіштері мен монументтерге, ғимараттарға, құрылыстарға іргелес аумақтарда, сондай-ақ Шымкент қаласының көшелерінде бұқаралық-мәдени іс-шаралар өткізуге өтініштерді қарастырады;</w:t>
      </w:r>
    </w:p>
    <w:p>
      <w:pPr>
        <w:spacing w:after="0"/>
        <w:ind w:left="0"/>
        <w:jc w:val="both"/>
      </w:pPr>
      <w:r>
        <w:rPr>
          <w:rFonts w:ascii="Times New Roman"/>
          <w:b w:val="false"/>
          <w:i w:val="false"/>
          <w:color w:val="000000"/>
          <w:sz w:val="28"/>
        </w:rPr>
        <w:t>
      20) әлеуметтік зерттеулер жүргізеді;</w:t>
      </w:r>
    </w:p>
    <w:p>
      <w:pPr>
        <w:spacing w:after="0"/>
        <w:ind w:left="0"/>
        <w:jc w:val="both"/>
      </w:pPr>
      <w:r>
        <w:rPr>
          <w:rFonts w:ascii="Times New Roman"/>
          <w:b w:val="false"/>
          <w:i w:val="false"/>
          <w:color w:val="000000"/>
          <w:sz w:val="28"/>
        </w:rPr>
        <w:t>
      21) қоғам тіршілік әрекетінің барлық негізгі бағыттары бойынша нақты ұсыныстар жасайды;</w:t>
      </w:r>
    </w:p>
    <w:p>
      <w:pPr>
        <w:spacing w:after="0"/>
        <w:ind w:left="0"/>
        <w:jc w:val="both"/>
      </w:pPr>
      <w:r>
        <w:rPr>
          <w:rFonts w:ascii="Times New Roman"/>
          <w:b w:val="false"/>
          <w:i w:val="false"/>
          <w:color w:val="000000"/>
          <w:sz w:val="28"/>
        </w:rPr>
        <w:t>
      22) мемлекеттің идеологиялық тапсырмаларын орындау аясында Шымкент қаласының ақпараттық-насихаттау топтары мүшелерін әдістемелік материалдармен ақпараттық қамтамасыз ету, тұрғындармен кездесу арқылы ақпараттық-насихаттау іс-шараларын өткізеді;</w:t>
      </w:r>
    </w:p>
    <w:p>
      <w:pPr>
        <w:spacing w:after="0"/>
        <w:ind w:left="0"/>
        <w:jc w:val="both"/>
      </w:pPr>
      <w:r>
        <w:rPr>
          <w:rFonts w:ascii="Times New Roman"/>
          <w:b w:val="false"/>
          <w:i w:val="false"/>
          <w:color w:val="000000"/>
          <w:sz w:val="28"/>
        </w:rPr>
        <w:t>
      23) алынған мәліметтер негізінде талдамалық баяндамалар, есептер және жазбалар дайындайды;</w:t>
      </w:r>
    </w:p>
    <w:p>
      <w:pPr>
        <w:spacing w:after="0"/>
        <w:ind w:left="0"/>
        <w:jc w:val="both"/>
      </w:pPr>
      <w:r>
        <w:rPr>
          <w:rFonts w:ascii="Times New Roman"/>
          <w:b w:val="false"/>
          <w:i w:val="false"/>
          <w:color w:val="000000"/>
          <w:sz w:val="28"/>
        </w:rPr>
        <w:t>
      24) Қазақстан Республикасы Президентінің және Үкіметінің саясатын іске асырады;</w:t>
      </w:r>
    </w:p>
    <w:p>
      <w:pPr>
        <w:spacing w:after="0"/>
        <w:ind w:left="0"/>
        <w:jc w:val="both"/>
      </w:pPr>
      <w:r>
        <w:rPr>
          <w:rFonts w:ascii="Times New Roman"/>
          <w:b w:val="false"/>
          <w:i w:val="false"/>
          <w:color w:val="000000"/>
          <w:sz w:val="28"/>
        </w:rPr>
        <w:t>
      25) өңірдің ұлттық, әлеуметтік-мәдени және қоғамдық мүдделерін білдіру қажеттігін ескере отырып, қалалық Ассамблеяның құрылымы мен құрамын анықтау құзыретін қамтамасыз етеді;</w:t>
      </w:r>
    </w:p>
    <w:p>
      <w:pPr>
        <w:spacing w:after="0"/>
        <w:ind w:left="0"/>
        <w:jc w:val="both"/>
      </w:pPr>
      <w:r>
        <w:rPr>
          <w:rFonts w:ascii="Times New Roman"/>
          <w:b w:val="false"/>
          <w:i w:val="false"/>
          <w:color w:val="000000"/>
          <w:sz w:val="28"/>
        </w:rPr>
        <w:t>
      26) қалалық Ассамблеяның сессиясы мен кеңесін өткізуді және олардың құзыреттерін іске асыруды қамтамасыз етеді;</w:t>
      </w:r>
    </w:p>
    <w:p>
      <w:pPr>
        <w:spacing w:after="0"/>
        <w:ind w:left="0"/>
        <w:jc w:val="both"/>
      </w:pPr>
      <w:r>
        <w:rPr>
          <w:rFonts w:ascii="Times New Roman"/>
          <w:b w:val="false"/>
          <w:i w:val="false"/>
          <w:color w:val="000000"/>
          <w:sz w:val="28"/>
        </w:rPr>
        <w:t>
      27) қалалық этномәдени және басқа да қоғамдық бірлестіктердің ұсынысы негізінде Ассамблея мүшелігіне кандидатуралар ұсынады;</w:t>
      </w:r>
    </w:p>
    <w:p>
      <w:pPr>
        <w:spacing w:after="0"/>
        <w:ind w:left="0"/>
        <w:jc w:val="both"/>
      </w:pPr>
      <w:r>
        <w:rPr>
          <w:rFonts w:ascii="Times New Roman"/>
          <w:b w:val="false"/>
          <w:i w:val="false"/>
          <w:color w:val="000000"/>
          <w:sz w:val="28"/>
        </w:rPr>
        <w:t>
      28) қаладағы этносаралық қатынастардың жай-күйі және оларды нығайту перспективалары туралы ақпарат жинайды және ұсынады;</w:t>
      </w:r>
    </w:p>
    <w:p>
      <w:pPr>
        <w:spacing w:after="0"/>
        <w:ind w:left="0"/>
        <w:jc w:val="both"/>
      </w:pPr>
      <w:r>
        <w:rPr>
          <w:rFonts w:ascii="Times New Roman"/>
          <w:b w:val="false"/>
          <w:i w:val="false"/>
          <w:color w:val="000000"/>
          <w:sz w:val="28"/>
        </w:rPr>
        <w:t>
      29) өз құзыреті шегінде мемлекеттік органдармен, қоғамдық және этномәдени бірлестіктермен, азаматтық қоғам институттарымен бірлесе отырып, қоғамдық келісім мен жалпыұлттық бірлік саласындағы мемлекеттік саясатты іске асыру, этносаралық толеранттылық, қоғамдық-саяси тұрақтылықты, ел бірлігін, қазақстандық азаматтық біртектілік пен отансүйгіштікті нығайту жұмыстарын үйлестіреді;</w:t>
      </w:r>
    </w:p>
    <w:p>
      <w:pPr>
        <w:spacing w:after="0"/>
        <w:ind w:left="0"/>
        <w:jc w:val="both"/>
      </w:pPr>
      <w:r>
        <w:rPr>
          <w:rFonts w:ascii="Times New Roman"/>
          <w:b w:val="false"/>
          <w:i w:val="false"/>
          <w:color w:val="000000"/>
          <w:sz w:val="28"/>
        </w:rPr>
        <w:t>
      30) этносаралық келісімге бағытталған семинарлар, конференциялар өткізу, ағартушылық және баспа қызметтерін ұйымдастыру, этномәдени қоғамдық бірлестіктерге әдістемелік, ұйымдастырушылық және құқықтық көмек көрсетеді;</w:t>
      </w:r>
    </w:p>
    <w:p>
      <w:pPr>
        <w:spacing w:after="0"/>
        <w:ind w:left="0"/>
        <w:jc w:val="both"/>
      </w:pPr>
      <w:r>
        <w:rPr>
          <w:rFonts w:ascii="Times New Roman"/>
          <w:b w:val="false"/>
          <w:i w:val="false"/>
          <w:color w:val="000000"/>
          <w:sz w:val="28"/>
        </w:rPr>
        <w:t>
      31) қалалық Ассамблеяның Қоғамдық келісім кеңесін құру бойынша жұмыстарды жүргізеді және оның қызметін қамтамасыз етуді үйлестіреді;</w:t>
      </w:r>
    </w:p>
    <w:p>
      <w:pPr>
        <w:spacing w:after="0"/>
        <w:ind w:left="0"/>
        <w:jc w:val="both"/>
      </w:pPr>
      <w:r>
        <w:rPr>
          <w:rFonts w:ascii="Times New Roman"/>
          <w:b w:val="false"/>
          <w:i w:val="false"/>
          <w:color w:val="000000"/>
          <w:sz w:val="28"/>
        </w:rPr>
        <w:t>
      32) гендерлік теңдік саясатын іске асырады;</w:t>
      </w:r>
    </w:p>
    <w:p>
      <w:pPr>
        <w:spacing w:after="0"/>
        <w:ind w:left="0"/>
        <w:jc w:val="both"/>
      </w:pPr>
      <w:r>
        <w:rPr>
          <w:rFonts w:ascii="Times New Roman"/>
          <w:b w:val="false"/>
          <w:i w:val="false"/>
          <w:color w:val="000000"/>
          <w:sz w:val="28"/>
        </w:rPr>
        <w:t>
      33) отбасы мүдделерін қорғау және Қазақстан Республикасында 2030 жылға дейінгі отбасылық және гендерлік саясат тұжырымдамасының іс-шаралар жоспарын іске асыру мәселелері бойынша жергілікті атқарушы органдармен және азаматтық қоғам институттармен өзара іс-әрекеттерді қамтамасыз етеді;</w:t>
      </w:r>
    </w:p>
    <w:p>
      <w:pPr>
        <w:spacing w:after="0"/>
        <w:ind w:left="0"/>
        <w:jc w:val="both"/>
      </w:pPr>
      <w:r>
        <w:rPr>
          <w:rFonts w:ascii="Times New Roman"/>
          <w:b w:val="false"/>
          <w:i w:val="false"/>
          <w:color w:val="000000"/>
          <w:sz w:val="28"/>
        </w:rPr>
        <w:t>
      34) әйелдер жағдайына және отбасылық-демографиялық ахуалына талдауды жасау, отбасылық-демографиялық ахуалына талдауды жасау, отбасылық-демографиялық саясатының негізгі бағыттары бойынша ұсыныстарды әзірлейді;</w:t>
      </w:r>
    </w:p>
    <w:p>
      <w:pPr>
        <w:spacing w:after="0"/>
        <w:ind w:left="0"/>
        <w:jc w:val="both"/>
      </w:pPr>
      <w:r>
        <w:rPr>
          <w:rFonts w:ascii="Times New Roman"/>
          <w:b w:val="false"/>
          <w:i w:val="false"/>
          <w:color w:val="000000"/>
          <w:sz w:val="28"/>
        </w:rPr>
        <w:t>
      35) тиісті құрылымдық бөлімшелермен, азаматтармен, бірлестіктермен және үкіметтік емес ұйымдармен бірлесе отырып, отбасы мен жастардың жағдайын жақсартуға бағытталған іс-шараларды әзірлеу және жүзеге асырады;</w:t>
      </w:r>
    </w:p>
    <w:p>
      <w:pPr>
        <w:spacing w:after="0"/>
        <w:ind w:left="0"/>
        <w:jc w:val="both"/>
      </w:pPr>
      <w:r>
        <w:rPr>
          <w:rFonts w:ascii="Times New Roman"/>
          <w:b w:val="false"/>
          <w:i w:val="false"/>
          <w:color w:val="000000"/>
          <w:sz w:val="28"/>
        </w:rPr>
        <w:t>
      36) заңнамада белгіленген тәртіппен өз өмірлік іс-әрекеттерінде отбасының және жастардың құқықтық қорғауын қамтамасыз етеді;</w:t>
      </w:r>
    </w:p>
    <w:p>
      <w:pPr>
        <w:spacing w:after="0"/>
        <w:ind w:left="0"/>
        <w:jc w:val="both"/>
      </w:pPr>
      <w:r>
        <w:rPr>
          <w:rFonts w:ascii="Times New Roman"/>
          <w:b w:val="false"/>
          <w:i w:val="false"/>
          <w:color w:val="000000"/>
          <w:sz w:val="28"/>
        </w:rPr>
        <w:t>
      37) заңнамада белгіленген тәртіппен отбасының және жастардың ақпараттық қауіпсіздігін отбасылық қарым-қатынас мәдениетін көтеруді қамтамасыз етеді;</w:t>
      </w:r>
    </w:p>
    <w:p>
      <w:pPr>
        <w:spacing w:after="0"/>
        <w:ind w:left="0"/>
        <w:jc w:val="both"/>
      </w:pPr>
      <w:r>
        <w:rPr>
          <w:rFonts w:ascii="Times New Roman"/>
          <w:b w:val="false"/>
          <w:i w:val="false"/>
          <w:color w:val="000000"/>
          <w:sz w:val="28"/>
        </w:rPr>
        <w:t>
      38) отбасының өзін-өзі дамыту, оның өмірлік әлеуетін ынталандыру, отбасылық міндеттерді орындау мен еңбек қызметін үйлестіру мақсатында экономикалық дербестік үшін қажетті жағдайларды жасайды;</w:t>
      </w:r>
    </w:p>
    <w:p>
      <w:pPr>
        <w:spacing w:after="0"/>
        <w:ind w:left="0"/>
        <w:jc w:val="both"/>
      </w:pPr>
      <w:r>
        <w:rPr>
          <w:rFonts w:ascii="Times New Roman"/>
          <w:b w:val="false"/>
          <w:i w:val="false"/>
          <w:color w:val="000000"/>
          <w:sz w:val="28"/>
        </w:rPr>
        <w:t>
      39) жас отбасы мектебін дамыту бойынша іс-шараларды өткізеді;</w:t>
      </w:r>
    </w:p>
    <w:p>
      <w:pPr>
        <w:spacing w:after="0"/>
        <w:ind w:left="0"/>
        <w:jc w:val="both"/>
      </w:pPr>
      <w:r>
        <w:rPr>
          <w:rFonts w:ascii="Times New Roman"/>
          <w:b w:val="false"/>
          <w:i w:val="false"/>
          <w:color w:val="000000"/>
          <w:sz w:val="28"/>
        </w:rPr>
        <w:t>
      40) отбасы құндылықтарын түсіндіру бойынша жұмыстар жүргізу, жастар арасында отбасылық құндылықтар бойыншакездесулерді, семинар-тренингтерді, байқауларды ұйымдастыру, жас отбасыларды әлеуметтік қолдайды;</w:t>
      </w:r>
    </w:p>
    <w:p>
      <w:pPr>
        <w:spacing w:after="0"/>
        <w:ind w:left="0"/>
        <w:jc w:val="both"/>
      </w:pPr>
      <w:r>
        <w:rPr>
          <w:rFonts w:ascii="Times New Roman"/>
          <w:b w:val="false"/>
          <w:i w:val="false"/>
          <w:color w:val="000000"/>
          <w:sz w:val="28"/>
        </w:rPr>
        <w:t>
      41) халыққа гендерлік білім беру мен ағартуға, гендерлік білім беру бойынша оқу-әдістемелік әдебиеттерді, ақпараттық бюллетеньдерді, бағдарламаларды, әдістемелік құралдарды әзірлеуге, бұқаралық ақпарат құралдарымен өзара әрекеттесуге, гендерлік теңдік мәселелері бойынша ата-аналарды ағартуға, қыздарды техникалық мамандықтар бойынша оқуға тартуға, әлеуметтік-экономикалық бағдарламаларға гендерлік индикаторларды енгізуге жәрдемдесу;</w:t>
      </w:r>
    </w:p>
    <w:p>
      <w:pPr>
        <w:spacing w:after="0"/>
        <w:ind w:left="0"/>
        <w:jc w:val="both"/>
      </w:pPr>
      <w:r>
        <w:rPr>
          <w:rFonts w:ascii="Times New Roman"/>
          <w:b w:val="false"/>
          <w:i w:val="false"/>
          <w:color w:val="000000"/>
          <w:sz w:val="28"/>
        </w:rPr>
        <w:t>
      42) экономикалық саладағы әйелдер мен еркектер арасындағы мүмкіндіктер теңдігіне жеткізуге, кәсіпкерлікті дамытуға, шағын және орта бизнеске әйелдерді тартуға, отбасылық бизнесті дамытуға, экономикалық білім беру орталықтарын ұйымдастыруға жәрдемдеседі;</w:t>
      </w:r>
    </w:p>
    <w:p>
      <w:pPr>
        <w:spacing w:after="0"/>
        <w:ind w:left="0"/>
        <w:jc w:val="both"/>
      </w:pPr>
      <w:r>
        <w:rPr>
          <w:rFonts w:ascii="Times New Roman"/>
          <w:b w:val="false"/>
          <w:i w:val="false"/>
          <w:color w:val="000000"/>
          <w:sz w:val="28"/>
        </w:rPr>
        <w:t>
      43) ұрпақтар арасындағы байланыстарды қалпына келтіру, дәстүрлерге ұқыпты қарау, аға буынның тәжірибелер мен дағдыларды пайдалану, отбасылардағы ұрпақтар сабақтастығы жүйесінің тиімділігін арттыру бойынша жұмыстарды ұйымдастырады;</w:t>
      </w:r>
    </w:p>
    <w:p>
      <w:pPr>
        <w:spacing w:after="0"/>
        <w:ind w:left="0"/>
        <w:jc w:val="both"/>
      </w:pPr>
      <w:r>
        <w:rPr>
          <w:rFonts w:ascii="Times New Roman"/>
          <w:b w:val="false"/>
          <w:i w:val="false"/>
          <w:color w:val="000000"/>
          <w:sz w:val="28"/>
        </w:rPr>
        <w:t>
      44) өмірде қиын жағдайға душар болған және тұрмыстық зорлық-зомбылықтан зардап шеккен кәмелетке толмағандардың және тұрмысы қолайсыз отбасыларды анықтау және өңірлік есебін жүргізеді.</w:t>
      </w:r>
    </w:p>
    <w:bookmarkStart w:name="z25"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қала әкімімен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Басқарма басшысының өкілеттіктері:</w:t>
      </w:r>
    </w:p>
    <w:bookmarkEnd w:id="2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қолданыстағы заңнамаларға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Басқарманың мүлкі оған меншік иесі берген мүлік, сондай-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ақпарат орталығы" жауапкершілігі шектеулі серіктестігі;</w:t>
      </w:r>
    </w:p>
    <w:p>
      <w:pPr>
        <w:spacing w:after="0"/>
        <w:ind w:left="0"/>
        <w:jc w:val="both"/>
      </w:pPr>
      <w:r>
        <w:rPr>
          <w:rFonts w:ascii="Times New Roman"/>
          <w:b w:val="false"/>
          <w:i w:val="false"/>
          <w:color w:val="000000"/>
          <w:sz w:val="28"/>
        </w:rPr>
        <w:t>
      2) Шымкент қаласының ішкі саясат және жастар істері жөніндегі басқармасының "Ақпараттық-коммуникациялық орталық" коммуналдық мемлекеттік мекемесі;</w:t>
      </w:r>
    </w:p>
    <w:p>
      <w:pPr>
        <w:spacing w:after="0"/>
        <w:ind w:left="0"/>
        <w:jc w:val="both"/>
      </w:pPr>
      <w:r>
        <w:rPr>
          <w:rFonts w:ascii="Times New Roman"/>
          <w:b w:val="false"/>
          <w:i w:val="false"/>
          <w:color w:val="000000"/>
          <w:sz w:val="28"/>
        </w:rPr>
        <w:t>
      3) Шымкент қаласының ішкі саясат және жастар істері жөніндегі басқармасының "Қоғамдық келісім" коммуналдық мемлекеттік мекемесі;</w:t>
      </w:r>
    </w:p>
    <w:p>
      <w:pPr>
        <w:spacing w:after="0"/>
        <w:ind w:left="0"/>
        <w:jc w:val="both"/>
      </w:pPr>
      <w:r>
        <w:rPr>
          <w:rFonts w:ascii="Times New Roman"/>
          <w:b w:val="false"/>
          <w:i w:val="false"/>
          <w:color w:val="000000"/>
          <w:sz w:val="28"/>
        </w:rPr>
        <w:t>
      4) Шымкент қаласының ішкі саясат және жастар істері жөніндегі басқармасының "Жастар ресурстық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