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d410" w14:textId="821d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2022 жылғы 30 желтоқсандағы № 228 шешімі.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атауы жаңа редакцияда - Ақтөбе облысы Қарғалы аудандық мәслихатының 26.09.2023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6 тармағына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Қарғалы аудандық мәслихатының 26.09.2023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Қарғалы ауданының ауылдық елді мекендеріге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