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1a1d" w14:textId="7281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2022 жылғы 1 желтоқсандағы № 252 қаулысы. Күші жойылды - Ақтөбе облысы Әйтеке би ауданы әкімдігінің 2023 жылғы 6 желтоқсандағы № 348 қаулысымен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ауданы әкімдігінің 06.12.2023 № 348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Әйтеке би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әкімдігінің 2022 жылғы "01" </w:t>
            </w:r>
            <w:r>
              <w:br/>
            </w:r>
            <w:r>
              <w:rPr>
                <w:rFonts w:ascii="Times New Roman"/>
                <w:b w:val="false"/>
                <w:i w:val="false"/>
                <w:color w:val="000000"/>
                <w:sz w:val="20"/>
              </w:rPr>
              <w:t xml:space="preserve">желтоқсандағы № 252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Әйтеке би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