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7cc2" w14:textId="e047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2021 жылғы 23 желтоқсандағы № 7С-18/2 "2022-2024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2022 жылғы 18 қарашадағы № 7С-32/2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"2022-2024 жылдарға арналған кенттердің, ауылдық округтердің бюджеттері туралы" 2021 жылғы 23 желтоқсандағы № 7С-18/2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366 605,9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366 606,1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145 909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152 539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129 327,5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345,6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105 042,5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131 991,4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32 517,1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32 517,1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159 480,6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14 812,2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123 323,4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165 680,6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49 369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49 769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56 041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58 841,7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(-1 950)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30 596,2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32 016,2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82 363,6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(-3 797,8)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3 797,8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21 244,4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22 044,4 мың теңге;";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орталықтары, мемлекеттік ұйымдарының жұмыскерлерінің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кентінде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Дамса ауылында спорт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кентіндегі Шәуәлі Рахымжанов атындағы орталық саябақты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ауылында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тұрғын үйлерді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2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ауылында ойын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жазғы су құбырын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 әзірлеуге және автомобиль жолдарын жөндеуге,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Бозайғыр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Жолымбет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Пригородный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Андреевка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Петровка ауылының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Шортанды кентінің көше-жол желісін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Пригородное - Камышенка 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Пригородный ауылдық округінің автомобиль жолдарының жұмыс істеуін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кентінің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ауылдық округі әкімінің аппаратын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ауылдық округінің күрделі шығыстарына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мұқтаж азаматтарына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