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dd7a" w14:textId="9dcd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2021 жылғы 23 желтоқсандағы № 7С-18/2 "2022-2024 жылдарға арналған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2022 жылғы 30 қыркүйектегі № 7С-30/2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"2022-2024 жылдарға арналған кенттердің, ауылдық округтердің бюджеттері туралы" 2021 жылғы 23 желтоқсандағы № 7С-18/2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364 465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315 237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364 465,2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153 557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160 187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135 877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138 540,9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(-2 663,9)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2 663,9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30 984,8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19 549,8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30 984,8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156 524,7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121 884,7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162 724,7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48 869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53 671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56 471,7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27 195,4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28 615,4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63 970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66 853,8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18 568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(-800)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800 мың теңге.";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Шортанды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Жолымбет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Дамса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Новокубанка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Бозайғыр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Бектау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Петровка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Раевка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Пригородный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Новоселовка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орталықтары, мемлекеттік ұйымдарының жұмыскерлерінің жалақысын көтеруге,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Жолымбет кентінде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Дамса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кентіндегі Шәуәлі Рахымжанов атындағы орталық саябақты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ауылындағы тұрғын үйлерді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кентіндегі тұрғын үйлерді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2 ойын алаңдарын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ауылында ойын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ауылында ойын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ауылында ойын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жөндеуге,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жазғы су құбырын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әзірлеуге және автомобиль жолдарын жөндеуге,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Бозайғыр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Жолымбет кентінің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Пригородный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Андреевка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Петровка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Шортанды кентінің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Раевка ауылдық округінің автомобиль жолдарының жұмыс істеуін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округінің автомобиль жолдарының жұмыс істеуін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 ауылдық округінің автомобиль жолдарының жұмыс істеуін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Пригородный ауылдық округінің автомобиль жолдарының жұмыс істеуін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кентінің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Раевка ауылдық округі әкімінің аппаратын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 ауылдық округінің күрделі шығыстарына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мұқтаж азаматтарына үйінде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