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1168" w14:textId="0201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2021 жылғы 17 қарашадағы № 12-73 "2021-2022 жылдарға арналған жайылымдарды басқару және олардың пайдалану бойынша Зеренді ауданының Қанай би атындағы, Сәкен Сейфуллин атындағы ауылдық округтері, Мәлік Ғабдуллин ауылдық округі, Бұлақ, Бәйтерек, Викторовка, Исаковка, Қызылегіс, Қызылсая, Қонысбай, Приреченое, Садовый,Сарыөзек, Симферополь, Троицкое ауылдық округтерінде жоспарды бекіту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аудандық мәслихатының 2022 жылғы 27 мамырдағы № 20-131 шешімі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"2021-2022 жылдарға арналған жайылымдарды басқару және олардың пайдалану бойынша Зеренді ауданының Қанай би атындағы, Сәкен Сейфуллин атындағы ауылдық округтері, Мәлік Ғабдуллин ауылдық округі, Бұлақ, Бәйтерек, Викторовка, Исаковка, Қызылегіс, Қызылсая, Қонысбай, Приреченое, Садовый, Сарыөзек, Симферополь, Троицкое ауылдық округтерінде жоспарды бекіту туралы" 2021 жылғы 17 қарашадағы № 12-73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2021-2022 жылдарға арналған Зеренді ауданында жайылымдарды басқару және оларды пайдалану жөніндегі жоспарының </w:t>
      </w:r>
      <w:r>
        <w:rPr>
          <w:rFonts w:ascii="Times New Roman"/>
          <w:b w:val="false"/>
          <w:i w:val="false"/>
          <w:color w:val="000000"/>
          <w:sz w:val="28"/>
        </w:rPr>
        <w:t>61-қосымшасы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27 мамырдағы</w:t>
            </w:r>
            <w:r>
              <w:br/>
            </w:r>
            <w:r>
              <w:rPr>
                <w:rFonts w:ascii="Times New Roman"/>
                <w:b w:val="false"/>
                <w:i w:val="false"/>
                <w:color w:val="000000"/>
                <w:sz w:val="20"/>
              </w:rPr>
              <w:t>№ 20-131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r>
              <w:br/>
            </w:r>
            <w:r>
              <w:rPr>
                <w:rFonts w:ascii="Times New Roman"/>
                <w:b w:val="false"/>
                <w:i w:val="false"/>
                <w:color w:val="000000"/>
                <w:sz w:val="20"/>
              </w:rPr>
              <w:t>Зеренді ауданында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жоспарына 61-қосымша</w:t>
            </w:r>
          </w:p>
        </w:tc>
      </w:tr>
    </w:tbl>
    <w:bookmarkStart w:name="z6" w:id="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схемалары Қанай би атындағы ауылдық округі</w:t>
      </w:r>
    </w:p>
    <w:bookmarkEnd w:id="4"/>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Сәкен Сейфуллин атындағы ауылдық округі</w:t>
      </w:r>
    </w:p>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Мәлік Ғабдуллин ауылдық округі</w:t>
      </w:r>
    </w:p>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Бұлақ ауылдық округі</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Бәйтерек ауылдық округі</w:t>
      </w:r>
    </w:p>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Викторовка ауылдық округі</w:t>
      </w:r>
    </w:p>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Исаковка ауылдық округі</w:t>
      </w:r>
    </w:p>
    <w:p>
      <w:pPr>
        <w:spacing w:after="0"/>
        <w:ind w:left="0"/>
        <w:jc w:val="left"/>
      </w:pP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Қызылегіс ауылдық округі</w:t>
      </w:r>
    </w:p>
    <w:p>
      <w:pPr>
        <w:spacing w:after="0"/>
        <w:ind w:left="0"/>
        <w:jc w:val="left"/>
      </w:pP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Қызылсая ауылдық округі</w:t>
      </w:r>
    </w:p>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Қонысбай ауылдық округі</w:t>
      </w:r>
    </w:p>
    <w:p>
      <w:pPr>
        <w:spacing w:after="0"/>
        <w:ind w:left="0"/>
        <w:jc w:val="left"/>
      </w:pP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Приречное ауылдық округі</w:t>
      </w:r>
    </w:p>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Садовый ауылдық округі</w:t>
      </w:r>
    </w:p>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Сарыөзек ауылдық округі</w:t>
      </w:r>
    </w:p>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Симферополь ауылдық округі</w:t>
      </w:r>
    </w:p>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Троицкое ауылдық округі</w:t>
      </w:r>
    </w:p>
    <w:p>
      <w:pPr>
        <w:spacing w:after="0"/>
        <w:ind w:left="0"/>
        <w:jc w:val="left"/>
      </w:pP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2021-2022 жылдарға арналған жайылымдарды басқару және оларды пайдалану жөніндегі жоспарға сәйкес ауыл, ауылдық округ маңында орналасқан жайылымдармен қамтамасыз етілетін жеке және (немесе) заңды тұлғалардың тізімі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2016"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2016"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2017"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"Қызылтан 2017"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"Қамшы" ауыл шаруашылығы өндірістік кооперативі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жеке толға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жеке толға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"Ақытқан Дүйсен" жеке толға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