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906" w14:textId="0bcf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27 желтоқсандағы № 7С-23/2 "2022-2024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7 сәуірдегі № 7С-28/3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"202-2024 жылдарға арналған Жарқайың ауданының Державин қаласы, ауылдық округтері мен ауылдарының бюджеттері туралы" 2021 жылғы 27 желтоқсандағы № 7С-23/2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Державин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147309,6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78876,6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64320,6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2022-2025 жылдарға арналған Уәлихан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52753,3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бюджеттік бюджеттік субвенциялар 15178,0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ағымдағы нысаналы трансферттер 30244,3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Костычево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бюджеттік бюджеттік субвенциялар 13898,0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ағымдағы нысаналы трансферттер 9733,0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Нахимов ауылдық округінің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бюджеттік бюджеттік субвенциялар 11689,0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ағымдағы нысаналы трансферттер 9610,0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Отрадный ауылдық округінің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бюджеттік бюджеттік субвенциялар 13589,0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ағымдағы нысаналы трансферттер 9463,0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Жаңадала ауылдық округінің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42850,2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2203,0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бюджеттік бюджеттік субвенциялар 16263,0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ағымдағы нысаналы трансферттер 16631,2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Бірсуат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бюджеттік бюджеттік субвенциялар 11414,0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ағымдағы нысаналы трансферттер 10162,2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Гастелло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22328,7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бюджеттік бюджеттік субвенциялар 10137,0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ағымдағы нысаналы трансферттер 7654,7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Далабай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1891,0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бюджеттік бюджеттік субвенциялар 10201,0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ағымдағы нысаналы трансферттер 9713,0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Құмсуат ауылының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-324,0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бюджеттік бюджеттік субвенциялар 11777,0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ағымдағы нысаналы трансферттер 8860,0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Львов ауылының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бюджеттік бюджеттік субвенциялар 12330,0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ағымдағы нысаналы трансферттер 10058,0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Пригород ауылының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28382,5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бюджеттік бюджеттік субвенциялар 14253,0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ағымдағы нысаналы трансферттер 11767,5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Пятигор ауылының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бюджеттік бюджеттік субвенциялар 9331,0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ағымдағы нысаналы трансферттер 8838,1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Тасөткел ауылының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- 486,0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бюджеттік бюджеттік субвенциялар 13342,0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ағымдағы нысаналы трансферттер 9416,5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Тассуат ауылының бюджеті тиісінше 43, 44 және 45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20559,2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бюджеттік бюджеттік субвенциялар 10959,0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ағымдағы нысаналы трансферттер 9224,2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Үшқарасу ауылының бюджеті тиісінше 46, 47 және 48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бюджеттік бюджеттік субвенциялар 10897,0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ағымдағы нысаналы трансферттер 9895,0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Шойындыкөл ауылының бюджеті тиісінше 49, 50 және 51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-28164,0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-1757,0 теңге мың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1757,0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бюджеттік бюджеттік субвенциялар 11446,0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ағымдағы нысаналы трансферттер 10083,0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