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d30e" w14:textId="791d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24 желтоқсандағы № 18/2 "2022-2024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 желтоқсандағы № 33/2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Есіл қаласының, Красногорский кентінің, ауылдардың және ауылдық округтердің бюджеттері туралы" 2021 жылғы 24 желтоқсандағы № 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189414,2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105686,2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191951,2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18291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18989,5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60674,5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61120,6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57247,1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46271,1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58066,3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42521,1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42881,3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18268,8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19332,6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49449,7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16222,4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16574,6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17592,8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17851,6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43066,5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31553,5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43920,7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17929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18532,7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40138,1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40266,5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20773,6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21200,6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27959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28909,9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37092,3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37349,5 мың теңге;";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желтоқсан 2022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Бұзылық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Двуречный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Жаныспай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Знаменка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Интернациональный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Красивинский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Красногорский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Московский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Свободный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