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bf76" w14:textId="0b0b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2021 жылғы 24 желтоқсандағы № 18/2 "2022-2024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17 тамыздағы № 29/3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"2022-2024 жылдарға арналған Есіл қаласының, Красногорский кентінің, ауылдардың және ауылдық округтердің бюджеттері туралы" 2021 жылғы 24 желтоқсандағы № 18/2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190530,9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106802,9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193067,9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17391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18089,5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56478,3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49754,3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56924,4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52169,5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41193,5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52988,7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38521,1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31617,1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38881,3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16068,8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17132,6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48162,6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40739,6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48249,7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14422,4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14774,6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13804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14062,8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38866,5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27353,5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39720,7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15729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16332,7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34749,3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34877,7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18673,6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19100,6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22370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23320,9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35392,3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27450,3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35649,5 мың теңге;";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тамыз 2022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алу құқығын сату бойынша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алу құқығын сату бойынша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Бұзылық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алу құқығын сату бойынша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Двуречный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Жаныспай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Знаменка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Интернациональный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Красивинский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Красногорский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Московский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Орловка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Свободный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Юбилейный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