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d143" w14:textId="e0bd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2021 жылғы 24 желтоқсандағы № 18/2 "2022-2024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10 маусымдағы № 26/3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"2022-2024 жылдарға арналған Есіл қаласының, Красногорский кентінің, ауылдардың және ауылдық округтердің бюджеттері туралы" 2021 жылғы 24 желтоқсандағы № 18/2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211928,1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126840,1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214465,1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14951мың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15649,5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55491,3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49234,3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55937,4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55155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45726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55974,2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39435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30914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39795,2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17409,8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6196,8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18473,6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45288,4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39625,4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45375,5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14668,4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4135,4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15020,6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16004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16262,8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39231,5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26279,5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40085,7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15236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15839,7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14753,5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8890,5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14881,9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13048,6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5752,6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13475,6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21650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22600,9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36374,3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27045,3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36631,5 мың теңге;";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А.Мақсұмхан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маусым 2022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Бұзылық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Двуречный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Жаныспай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Знаменка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Интернациональный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Красивинский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Красногорский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Московский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Орловка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Свободный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Юбилейный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