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fd92" w14:textId="e1ef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2021 жылғы 24 желтоқсандағы № 18/2 "2022-2024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22 ақпандағы № 21/3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"2022-2024 жылдарға арналған Есіл қаласының, Красногорский кентінің, ауылдардың және ауылдық округтердің бюджеттері туралы" 2021 жылғы 24 желтоқсандағы № 18/2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181725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(- 2537)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2537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16025,5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(- 698,5)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698,5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56011,3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49754,3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(- 446,1)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55879,2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(- 819,2)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819,2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40056,2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(- 360,2)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17937,8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(- 1063,8)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1063,8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44603,1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(- 87,1)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87,1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14594,2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(- 352,2)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352,2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16376,8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(- 258,8)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39947,1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26995,1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(- 854,2)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854,2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15154,7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(- 603,7)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12708,4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(- 128,4)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12652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(- 427)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427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22784,9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(- 950,9)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950,9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34031,7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(- 257,2)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257,2 мың теңге.";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2022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Бұзылық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Двуречный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Жаныспай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Знаменка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Интернациональный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Красивинский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Красногорский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Московский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Орловка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Свободный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Юбилейный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