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b94b" w14:textId="e33b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27 желтоқсандағы № 7С-14/1 "2022-2024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23 тамыздағы № 7С-24/2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Макинск қаласының, Бұланды ауданының ауылдық округтерінің бюджеттері туралы" 2021 жылғы 27 желтоқсандағы № 7С-14/1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Макинск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119971,0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121324,5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Вознесенка ауылдық округінің бюджеті тиісінше 4, 5 және 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58119,0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60114,6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Қараөзек ауылдық округінің бюджеті тиісінше 7, 8 және 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Айнакөл ауылдық округінің бюджеті тиісінше 10, 11 және 12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Амангелді ауылдық округінің бюджеті тиісінше 13, 14 және 15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Капитоновка ауылдық округінің бюджеті тиісінше 16, 17 және 18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Новобратск ауылдық округінің бюджеті тиісінше 19, 20 және 21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Никольск ауылдық округінің бюджеті тиісінше 22, 23 және 24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Карамышевка ауылдық округінің бюджеті тиісінше 25, 26 және 27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Журавлевка ауылдық округінің бюджеті тиісінше 28, 29 және 30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Ерголка ауылдық округінің бюджеті тиісінше 31, 32 және 33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Алтынды ауылдық округінің бюджеті тиісінше 34, 35 және 36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720,2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Капитоновка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Новобратск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Карамышевка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Журавлевка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Ерголка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Алтынды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қаласының, Бұланды ауданының ауылдық округтерінің бюджеттерiне республикалық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