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e2a5" w14:textId="14fe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2021 жылғы 27 желтоқсандағы № 19/2 "2022-2024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2022 жылғы 5 сәуірдегі № 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"2022-2024 жылдарға арналған Аршалы ауданының кент, ауылдық округтерінің бюджеттері туралы" 2021 жылғы 27 желтоқсандағы № 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Аршалы кентінің бюджеті тиісінше 1, 2, 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3 140,0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Ижев ауылдық округінің бюджеті тиісінше 4, 5, 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Жібек жолы ауылдық округінің бюджеті тиісінше 7, 8, 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184 415,0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Анар ауылдық округінің бюджеті тиісінше 10, 11, 12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Бірсуат ауылдық округінің бюджеті тиісінше 13, 14, 15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Түрген ауылдық округінің бюджеті тиісінше 16, 17, 18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90 735,5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Константинов ауылдық округінің бюджеті тиісінше 19, 20, 21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Михайлов ауылдық округінің бюджеті тиісінше 22, 23, 24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Волгодонов ауылдық округінің бюджеті тиісінше 25, 26, 27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204 912,9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194 737,9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2 491,1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Арнасай ауылдық округінің бюджеті тиісінше 28, 29, 30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Сараба ауылдық округінің бюджеті тиісінше 31, 32, 33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Бұлақсай ауылдық округінің бюджеті тиісінше 34, 35, 36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Ақбұлақ ауылдық округінің бюджеті тиісінше 37, 38, 39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 облыстық бюджеттен аудандық (облыстық маңызы бар қалалар) бюджеттерге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Қойгелді ауылы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жаяу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Анар станциясына кіреберіс жолды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 жергілікті су тазарту станциясын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ауылының су құбыры желілерін күрделі жөндеуге мемлекеттік сараптамамен жобалау-сметалық құжаттаманы дайындау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қысқы кезеңдегі жолдарын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4 848,5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