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87b5" w14:textId="7808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Шар қаласында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9/136-VII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Шар қаласында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9/136-VII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Шар қаласында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Шар қаласында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Шар қаласы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қала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Шар қаласы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Қалада барлығы 5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0"/>
    <w:p>
      <w:pPr>
        <w:spacing w:after="0"/>
        <w:ind w:left="0"/>
        <w:jc w:val="both"/>
      </w:pPr>
      <w:r>
        <w:rPr>
          <w:rFonts w:ascii="Times New Roman"/>
          <w:b w:val="false"/>
          <w:i w:val="false"/>
          <w:color w:val="000000"/>
          <w:sz w:val="28"/>
        </w:rPr>
        <w:t>
      2021 жылғы 1 қаңтар жағдайына каладағы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Қала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қала аумағында барлығы – 146 854,5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34 828,9</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қала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60 803,1</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21 395,9</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39 407,2</w:t>
            </w:r>
          </w:p>
        </w:tc>
      </w:tr>
    </w:tbl>
    <w:bookmarkStart w:name="z45" w:id="28"/>
    <w:p>
      <w:pPr>
        <w:spacing w:after="0"/>
        <w:ind w:left="0"/>
        <w:jc w:val="both"/>
      </w:pPr>
      <w:r>
        <w:rPr>
          <w:rFonts w:ascii="Times New Roman"/>
          <w:b w:val="false"/>
          <w:i w:val="false"/>
          <w:color w:val="000000"/>
          <w:sz w:val="28"/>
        </w:rPr>
        <w:t>
      Қала аумағында жайылымдардың артықшылығы 39 407,2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Шар қаласында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Шар қаласы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Шар қаласында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Шар қаласының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Шар қаласында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қосымша</w:t>
            </w:r>
          </w:p>
        </w:tc>
      </w:tr>
    </w:tbl>
    <w:bookmarkStart w:name="z58" w:id="38"/>
    <w:p>
      <w:pPr>
        <w:spacing w:after="0"/>
        <w:ind w:left="0"/>
        <w:jc w:val="left"/>
      </w:pPr>
      <w:r>
        <w:rPr>
          <w:rFonts w:ascii="Times New Roman"/>
          <w:b/>
          <w:i w:val="false"/>
          <w:color w:val="000000"/>
        </w:rPr>
        <w:t xml:space="preserve"> Жарма ауданы Шар қаласының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Шар қаласында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Шар қаласының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Шар қаласында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Шар қаласының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Шар қаласында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Шар қаласының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Шар қаласында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Шар қаласы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