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2122" w14:textId="c0c2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Суықбұлақ кентінде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9/133-VII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шешімнің қолданысқа енгізілу тәртібін 3-т.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Суықбұлақ кентінде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9/133-VII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Суықбұлақ кентінде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Суықбұлақ кентінде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Суықбұлақ кенті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кент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Суықбұлақ кенті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Кентте барлығы 13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8" w:id="20"/>
    <w:p>
      <w:pPr>
        <w:spacing w:after="0"/>
        <w:ind w:left="0"/>
        <w:jc w:val="both"/>
      </w:pPr>
      <w:r>
        <w:rPr>
          <w:rFonts w:ascii="Times New Roman"/>
          <w:b w:val="false"/>
          <w:i w:val="false"/>
          <w:color w:val="000000"/>
          <w:sz w:val="28"/>
        </w:rPr>
        <w:t>
      2021 жылғы 1 қаңтар жағдайына кенттегі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9" w:id="21"/>
    <w:p>
      <w:pPr>
        <w:spacing w:after="0"/>
        <w:ind w:left="0"/>
        <w:jc w:val="both"/>
      </w:pPr>
      <w:r>
        <w:rPr>
          <w:rFonts w:ascii="Times New Roman"/>
          <w:b w:val="false"/>
          <w:i w:val="false"/>
          <w:color w:val="000000"/>
          <w:sz w:val="28"/>
        </w:rPr>
        <w:t>
      Кент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кент аумағында барлығы – 199 864,0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16 965,1</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111 779,9</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11 468,4</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100 311,5</w:t>
            </w:r>
          </w:p>
        </w:tc>
      </w:tr>
    </w:tbl>
    <w:bookmarkStart w:name="z45" w:id="28"/>
    <w:p>
      <w:pPr>
        <w:spacing w:after="0"/>
        <w:ind w:left="0"/>
        <w:jc w:val="both"/>
      </w:pPr>
      <w:r>
        <w:rPr>
          <w:rFonts w:ascii="Times New Roman"/>
          <w:b w:val="false"/>
          <w:i w:val="false"/>
          <w:color w:val="000000"/>
          <w:sz w:val="28"/>
        </w:rPr>
        <w:t>
      Кент аумағында жайылымдардың артықшылығы 100 311,5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Суықбұлақ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Суықбұлақ кенті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Суықбұлақ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Суықбұлақ кентінің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Суықбұлақ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Суықбұлақ кентінің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Суықбұлақ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Суықбұлақ кентінің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Суықбұлақ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Суықбұлақ кентінің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Суықбұлақ кентінің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Суықбұлақ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Суықбұлақ кенті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