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b01b" w14:textId="c6cb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2018 жылғы 25 маусымдағы № 23/6-VІ "Глубокое ауданы бойынша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6 қазандағы № 11/8-VII шешімі. Күші жойылды -Шығыс Қазақстан облысы Глубокое аудандық мәслихатының 2024 жылғы 20 наурыздағы № 10/4-VIII шешімімен</w:t>
      </w:r>
    </w:p>
    <w:p>
      <w:pPr>
        <w:spacing w:after="0"/>
        <w:ind w:left="0"/>
        <w:jc w:val="both"/>
      </w:pPr>
      <w:r>
        <w:rPr>
          <w:rFonts w:ascii="Times New Roman"/>
          <w:b w:val="false"/>
          <w:i w:val="false"/>
          <w:color w:val="ff0000"/>
          <w:sz w:val="28"/>
        </w:rPr>
        <w:t xml:space="preserve">
      Ескерту. Күші жойылды -Шығыс Қазақстан облысы Глубокое аудандық мәслихатының 20.03.2024 </w:t>
      </w:r>
      <w:r>
        <w:rPr>
          <w:rFonts w:ascii="Times New Roman"/>
          <w:b w:val="false"/>
          <w:i w:val="false"/>
          <w:color w:val="ff0000"/>
          <w:sz w:val="28"/>
        </w:rPr>
        <w:t>№ 10/4-VIII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Глубокое аудандық мәслихаты ШЕШТІ:</w:t>
      </w:r>
    </w:p>
    <w:bookmarkStart w:name="z1" w:id="0"/>
    <w:p>
      <w:pPr>
        <w:spacing w:after="0"/>
        <w:ind w:left="0"/>
        <w:jc w:val="both"/>
      </w:pPr>
      <w:r>
        <w:rPr>
          <w:rFonts w:ascii="Times New Roman"/>
          <w:b w:val="false"/>
          <w:i w:val="false"/>
          <w:color w:val="000000"/>
          <w:sz w:val="28"/>
        </w:rPr>
        <w:t xml:space="preserve">
      1. Глубокое аудандық мәслихатының 2018 жылғы 25 маусымдағы № 23/6-VІ "Глубокое ауданы бойынша жергілікті қоғамдастық жиналысының регламентін бекіту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5-9-177 болып тіркелген)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шешіммен бекітілген, Глубокое ауданы бойынша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жергілікті қоғамдастық жиналысының регламенті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 және Глубокое ауданының аумағында жергілікті қоғамдастық жиналысының құру тәртібі мен қызметін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Start w:name="z7" w:id="2"/>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2"/>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