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94ab" w14:textId="6ff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15 желтоқсандағы № 2725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Семей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Семей қаласы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Әкімдіктің осы қаулысының орындалуын бақылау қала әкімінің орынбасары Д. А. Гариковқа жүктелсін.</w:t>
      </w:r>
    </w:p>
    <w:bookmarkEnd w:id="2"/>
    <w:bookmarkStart w:name="z7" w:id="3"/>
    <w:p>
      <w:pPr>
        <w:spacing w:after="0"/>
        <w:ind w:left="0"/>
        <w:jc w:val="both"/>
      </w:pPr>
      <w:r>
        <w:rPr>
          <w:rFonts w:ascii="Times New Roman"/>
          <w:b w:val="false"/>
          <w:i w:val="false"/>
          <w:color w:val="000000"/>
          <w:sz w:val="28"/>
        </w:rPr>
        <w:t>
      3. Әкімдіктің осы қаулысы оның алғашқы ресми жарияланған күнінен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 әкімінің м. 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Гариков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 2725 қаулысымен бекітілген</w:t>
            </w:r>
          </w:p>
        </w:tc>
      </w:tr>
    </w:tbl>
    <w:bookmarkStart w:name="z13"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 – Қағидалар) Қазақстан Республикасы Экология кодексінің 365-бабы 4-тармағының 6) тармақшасына сәйкес әзірленді және Шығыс Қазақстан облысының Семей қаласы бойынша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мұндай қалдықтар аралас қалдықтар және басқа көздерден бөлек жиналған қалдықтар, егер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21"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22"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23"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w:t>
      </w:r>
    </w:p>
    <w:bookmarkEnd w:id="10"/>
    <w:bookmarkStart w:name="z24" w:id="11"/>
    <w:p>
      <w:pPr>
        <w:spacing w:after="0"/>
        <w:ind w:left="0"/>
        <w:jc w:val="both"/>
      </w:pPr>
      <w:r>
        <w:rPr>
          <w:rFonts w:ascii="Times New Roman"/>
          <w:b w:val="false"/>
          <w:i w:val="false"/>
          <w:color w:val="000000"/>
          <w:sz w:val="28"/>
        </w:rPr>
        <w:t>
      үй қорының барлық объектілері, тұрғын емес үй-жайлар үшін жеке-жеке белгіленеді.</w:t>
      </w:r>
    </w:p>
    <w:bookmarkEnd w:id="11"/>
    <w:bookmarkStart w:name="z25"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26"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27"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bookmarkStart w:name="z28" w:id="15"/>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5"/>
    <w:bookmarkStart w:name="z29" w:id="16"/>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6"/>
    <w:bookmarkStart w:name="z30" w:id="17"/>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тұрғылықты халықтың мынадай саны бар учаскелер бөлінеді:</w:t>
      </w:r>
    </w:p>
    <w:bookmarkEnd w:id="17"/>
    <w:bookmarkStart w:name="z31" w:id="18"/>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18"/>
    <w:bookmarkStart w:name="z32" w:id="19"/>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19"/>
    <w:bookmarkStart w:name="z33" w:id="20"/>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0"/>
    <w:bookmarkStart w:name="z34" w:id="21"/>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35"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6"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7"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8"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w:t>
      </w:r>
    </w:p>
    <w:bookmarkEnd w:id="25"/>
    <w:bookmarkStart w:name="z39" w:id="26"/>
    <w:p>
      <w:pPr>
        <w:spacing w:after="0"/>
        <w:ind w:left="0"/>
        <w:jc w:val="both"/>
      </w:pPr>
      <w:r>
        <w:rPr>
          <w:rFonts w:ascii="Times New Roman"/>
          <w:b w:val="false"/>
          <w:i w:val="false"/>
          <w:color w:val="000000"/>
          <w:sz w:val="28"/>
        </w:rPr>
        <w:t>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40"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41"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42" w:id="29"/>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43"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44"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48" w:id="3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2"/>
    <w:bookmarkStart w:name="z49" w:id="3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3"/>
    <w:bookmarkStart w:name="z50" w:id="3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4"/>
    <w:bookmarkStart w:name="z51" w:id="35"/>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110" w:id="3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7469"/>
        <w:gridCol w:w="2930"/>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орындары, ойын-сауық орындарымен қоғамдық тамақтану мекемелері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көрмелер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тауарларының көтерме базалары мен азық-түлік қоймалары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 халыққа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 жуу орындары, АҚС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Автошеберханалар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кәріздің, газдың болуы 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бойынша </w:t>
            </w:r>
            <w:r>
              <w:br/>
            </w: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4-қосымша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01"/>
        <w:gridCol w:w="1132"/>
        <w:gridCol w:w="2248"/>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 А. 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xml:space="preserve">
      Тәулігіне орташа </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 А. Ә. (болған жағдайда), лауазымы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