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3c0" w14:textId="098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10 қыркүйектегі № 40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26 қарашадағы № 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ауылдық округтердің бюджеттері туралы" Сауран аудандық мәслихатының 2021 жылғы 10 қыркүйектегі № 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2021-2023 жылдарға арналған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2021-2023 жылдарға арналған бюджеті тиісінше 4, 5 және 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-16 089мың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16 089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2021-2023 жылдарға арналған бюджеті тиісінше 7, 8 және 9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11 608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11 608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2021-2023 жылдарға арналған бюджеті тиісінше 10, 11 және 12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2021-2023 жылдарға арналған бюджеті тиісінше 13, 14 және 15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2021-2023 жылдарға арналған бюджеті тиісінше 16, 17 және 18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2021-2023 жылдарға арналған бюджеті тиісінше 19, 20 және 21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2021-2023 жылдарға арналған бюджеті тиісінше 22, 23 және 24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2021-2023 жылдарға арналған бюджеті тиісінше 25, 26 және 27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–25 589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10 762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2021-2023 жылдарға арналған бюджеті тиісінше 31, 32 және 33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19 436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2021-2023 жылдарға арналған бюджеті тиісінше 34, 35 және 36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1 078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