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e58b" w14:textId="071e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25 сәуірдегі № 163 "Созақ ауданының ауылдық округтері мен кенттерінің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Созақ аудандық мәслихатының 2021 жылғы 17 қарашадағы № 59 шешiмi</w:t>
      </w:r>
    </w:p>
    <w:p>
      <w:pPr>
        <w:spacing w:after="0"/>
        <w:ind w:left="0"/>
        <w:jc w:val="both"/>
      </w:pPr>
      <w:bookmarkStart w:name="z1" w:id="0"/>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"Созақ ауданының ауылдық округтері мен кенттерінің жергілікті қоғамдастық жиналысының регламентін бекіту туралы" 2018 жылғы 25 сәуірдегі № 163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59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25 сәуірдегі</w:t>
            </w:r>
            <w:r>
              <w:br/>
            </w:r>
            <w:r>
              <w:rPr>
                <w:rFonts w:ascii="Times New Roman"/>
                <w:b w:val="false"/>
                <w:i w:val="false"/>
                <w:color w:val="000000"/>
                <w:sz w:val="20"/>
              </w:rPr>
              <w:t>№ 163 шешіміне қосымша</w:t>
            </w:r>
          </w:p>
        </w:tc>
      </w:tr>
    </w:tbl>
    <w:bookmarkStart w:name="z8" w:id="6"/>
    <w:p>
      <w:pPr>
        <w:spacing w:after="0"/>
        <w:ind w:left="0"/>
        <w:jc w:val="left"/>
      </w:pPr>
      <w:r>
        <w:rPr>
          <w:rFonts w:ascii="Times New Roman"/>
          <w:b/>
          <w:i w:val="false"/>
          <w:color w:val="000000"/>
        </w:rPr>
        <w:t xml:space="preserve"> Созақ ауданының ауылдық округтері мен кенттерінің жергілікті қоғамдастық жиналысының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Созақ ауданының ауылдық округтері мен кенттерінің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10"/>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0"/>
    <w:bookmarkStart w:name="z13" w:id="1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4"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5"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bookmarkStart w:name="z16"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7"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8" w:id="16"/>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9" w:id="1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0" w:id="1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1" w:id="19"/>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2" w:id="2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3" w:id="21"/>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Start w:name="z24" w:id="2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5" w:id="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
    <w:bookmarkStart w:name="z26" w:id="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7" w:id="2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5"/>
    <w:bookmarkStart w:name="z28" w:id="2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9" w:id="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
    <w:bookmarkStart w:name="z30" w:id="2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
    <w:bookmarkStart w:name="z31" w:id="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9"/>
    <w:bookmarkStart w:name="z32" w:id="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
    <w:bookmarkStart w:name="z33" w:id="31"/>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w:t>
      </w:r>
    </w:p>
    <w:bookmarkEnd w:id="3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