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1ad9" w14:textId="0a41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2020 жылғы 29 желтоқсандағы № 65-386/VI "Сайрам ауданы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2021 жылғы 16 қыркүйектегі № 8-48/VII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2020 жылғы 19 желтоқсандағы № 65-386/VI "Сайрам ауданы ауылдық округтерінің 2021-2023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Ақсукент ауылдық округінің 2021-2023 жылдарға арналған бюджеті тиісінше 1, 2 және 3-қосымшаларға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157 659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18 229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Ақбұлақ ауылдық округінің 2021-2023 жылдарға арналған бюджеті тиісінше 4, 5 және 6-қосымшаларға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5 274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Арыс ауылдық округінің 2021-2023 жылдарға арналған бюджеті тиісінше 7, 8 және 9-қосымшаларға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35 613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4 229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Жібек-жолы ауылдық округінің 2021-2023 жылдарға арналған бюджеті тиісінше 10, 11 және 12 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3 884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Қайнарбұлақ ауылдық округінің 2021-2023 жылдарға арналған бюджеті тиісінше 13, 14 және 15-қосымшаларға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43 298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4 558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Қарабұлақ ауылдық округінің 2021-2023 жылдарға арналған бюджеті тиісінше 16, 17 және 18-қосымшаларға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55 210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32 125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Қарамұрт ауылдық округінің 2021-2023 жылдарға арналған бюджеті тиісінше 19, 20 және 21-қосымшаларға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86 756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8 353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Қарасу ауылдық округінің 2021-2023 жылдарға арналған бюджеті тиісінше 22, 23 және 24-қосымшаларға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50 445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- 16 934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16 934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Құтарыс ауылдық округінің 2021-2023 жылдарға арналған бюджеті тиісінше 25, 26 және 27-қосымшаларға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Көлкент ауылдық округінің 2021-2023 жылдарға арналған бюджеті тиісінше 28, 29 және 30-қосымшаларға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12 543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Манкент ауылдық округінің 2021-2023 жылдарға арналған бюджеті тиісінше 31, 32 және 33-қосымшаларға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78 653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- 23 507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23 507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23 507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65-386/VІ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65-386/VІ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65-386/VІ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65-386/VІ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65-386/VІ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65-386/VІ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65-386/VІ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65-386/VІ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65-386/VІ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65-386/VІ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65-386/VІ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