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c05a" w14:textId="94cc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2014 жылғы 27 наурыздағы № 29/177 "Солтүстік Қазақстан облысы Есіл ауданының Заречный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2021 жылғы 7 қазандағы № 11/99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2014 жылғы 27 наурыздағы № 29/177 "Солтүстік Қазақстан облысы Есіл ауданының Заречный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2728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ауданының Заречный ауылдық округінің жергілікті қоғамдастық жиынына қатысу үшін ауылдар мен көшелер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xml:space="preserve">
№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(адамдардың)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Чириковка ауылының тұрғындары үшін көшелер шегінде:</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Набережная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Букетная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Уәлиханов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Коваленко</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Парковая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С.Мұқанов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Дружба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Цветочная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Әуезов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w:t>
            </w:r>
          </w:p>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18</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