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f9d7" w14:textId="adcf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2021 жылғы 21 желтоқсандағы № 1141/12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Екібастұз қаласының әкімдігі ҚАУЛЫ ЕТЕДІ: </w:t>
      </w:r>
    </w:p>
    <w:bookmarkEnd w:id="0"/>
    <w:bookmarkStart w:name="z2" w:id="1"/>
    <w:p>
      <w:pPr>
        <w:spacing w:after="0"/>
        <w:ind w:left="0"/>
        <w:jc w:val="both"/>
      </w:pPr>
      <w:r>
        <w:rPr>
          <w:rFonts w:ascii="Times New Roman"/>
          <w:b w:val="false"/>
          <w:i w:val="false"/>
          <w:color w:val="000000"/>
          <w:sz w:val="28"/>
        </w:rPr>
        <w:t>
      1. Екібастұз қаласы бойынша коммуналдық қалдықтардың түзілу және жинақталу нормаларын есептеу қағидалары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Екібастұз қаласы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2021 жылғы</w:t>
            </w:r>
            <w:r>
              <w:br/>
            </w:r>
            <w:r>
              <w:rPr>
                <w:rFonts w:ascii="Times New Roman"/>
                <w:b w:val="false"/>
                <w:i w:val="false"/>
                <w:color w:val="000000"/>
                <w:sz w:val="20"/>
              </w:rPr>
              <w:t>"21" желтоқсан № 1141/12</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Екібастұз қаласы бойынша коммуналдық қалдықтардың түзілу және жинақталу нормаларын есептеудің қағидалары  1-тарау. Жалпы ережелері</w:t>
      </w:r>
    </w:p>
    <w:bookmarkEnd w:id="4"/>
    <w:p>
      <w:pPr>
        <w:spacing w:after="0"/>
        <w:ind w:left="0"/>
        <w:jc w:val="both"/>
      </w:pPr>
      <w:r>
        <w:rPr>
          <w:rFonts w:ascii="Times New Roman"/>
          <w:b w:val="false"/>
          <w:i w:val="false"/>
          <w:color w:val="000000"/>
          <w:sz w:val="28"/>
        </w:rPr>
        <w:t>
      1. Екібастұз қаласы бойынша коммуналдық қалдықтардың түзілу және жинақталу нормаларын есептеудің осы қағидалары (бұдан әрі – Қағидалар) Қазақстан Республикасының Экология Кодексінің 365-бабы 4-тармағының 6) тармақшасына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7" w:id="5"/>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5. Коммуналдық қалдықтардың түзілу және жинақталу нормалары Қағидаларға 1-қосымшаға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учаскелер абаттандырудың әрбір түрі бойынша тұрғындардың жалпы санының 2%-ын қамти отырып бөлінеді.</w:t>
      </w:r>
    </w:p>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8" w:id="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 w:id="7"/>
    <w:p>
      <w:pPr>
        <w:spacing w:after="0"/>
        <w:ind w:left="0"/>
        <w:jc w:val="both"/>
      </w:pPr>
      <w:r>
        <w:rPr>
          <w:rFonts w:ascii="Times New Roman"/>
          <w:b w:val="false"/>
          <w:i w:val="false"/>
          <w:color w:val="000000"/>
          <w:sz w:val="28"/>
        </w:rPr>
        <w:t xml:space="preserve">
      Тұрғын үй қоры объектілерінің және тұрғын емес үй-жайлардың түрлері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both"/>
      </w:pPr>
      <w:r>
        <w:rPr>
          <w:rFonts w:ascii="Times New Roman"/>
          <w:b w:val="false"/>
          <w:i w:val="false"/>
          <w:color w:val="000000"/>
          <w:sz w:val="28"/>
        </w:rPr>
        <w:t>
      Тұрғын үй қоры объектісінің коммуналдық паспорты</w:t>
      </w:r>
    </w:p>
    <w:bookmarkEnd w:id="8"/>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9"/>
    <w:p>
      <w:pPr>
        <w:spacing w:after="0"/>
        <w:ind w:left="0"/>
        <w:jc w:val="both"/>
      </w:pPr>
      <w:r>
        <w:rPr>
          <w:rFonts w:ascii="Times New Roman"/>
          <w:b w:val="false"/>
          <w:i w:val="false"/>
          <w:color w:val="000000"/>
          <w:sz w:val="28"/>
        </w:rPr>
        <w:t>
      Бастапқы жазба бланкісі</w:t>
      </w:r>
    </w:p>
    <w:bookmarkEnd w:id="9"/>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0"/>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0"/>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1"/>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1"/>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