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7981" w14:textId="3837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24 қаңтардағы № 339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2021 жылғы 18 қазандағы № 49 шешімі</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24 қаңтардағы № 339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8936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ауыл, ауылдық округтер әкімі аппаратының ауылдың, ауылдық округтердің коммуналдық меншігін (жергілікті өзін-өзі басқарудың коммуналдық меншігін) басқару жөніндегі шешімдерін келісу;</w:t>
      </w:r>
    </w:p>
    <w:bookmarkEnd w:id="6"/>
    <w:bookmarkStart w:name="z12"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ауылдың, ауылдық округтердің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ауыл, ауылдық округ әкіміне кандидат ретінде тіркеу үшін аудандық сайлау комиссиясына одан әрі енгізу үшін аудан әкімінің ауылдар, ауылдық округтер әкімі лауазымына ұсынған кандидатураларын келісу;</w:t>
      </w:r>
    </w:p>
    <w:bookmarkEnd w:id="11"/>
    <w:bookmarkStart w:name="z17" w:id="12"/>
    <w:p>
      <w:pPr>
        <w:spacing w:after="0"/>
        <w:ind w:left="0"/>
        <w:jc w:val="both"/>
      </w:pPr>
      <w:r>
        <w:rPr>
          <w:rFonts w:ascii="Times New Roman"/>
          <w:b w:val="false"/>
          <w:i w:val="false"/>
          <w:color w:val="000000"/>
          <w:sz w:val="28"/>
        </w:rPr>
        <w:t>
      ауылдың, ауылдық округтердің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2" w:id="1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7"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30"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1"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ауылдық округтер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ауылдық округтер әкіміне беріледі.</w:t>
      </w:r>
    </w:p>
    <w:bookmarkEnd w:id="25"/>
    <w:bookmarkStart w:name="z33" w:id="26"/>
    <w:p>
      <w:pPr>
        <w:spacing w:after="0"/>
        <w:ind w:left="0"/>
        <w:jc w:val="both"/>
      </w:pPr>
      <w:r>
        <w:rPr>
          <w:rFonts w:ascii="Times New Roman"/>
          <w:b w:val="false"/>
          <w:i w:val="false"/>
          <w:color w:val="000000"/>
          <w:sz w:val="28"/>
        </w:rPr>
        <w:t>
      Ауыл, ауылдық округтер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"13. Жиналыс қабылдаған шешімдерді ауыл, ауылдық округтер әкімі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Ауыл, ауылдық округтер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