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44c8" w14:textId="e654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Павлодар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142 және Павлодар облысы әкімдігінің 2021 жылғы 21 маусымдағы № 4-03/9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Ұлттық статистика бюросы ережесінің 15-тармағының 51) тармақшасына сәйкес, Қазақстан Республикасы Стратегиялық жоспарлау және реформалар агенттігінің Ұлттық статистика бюросы БҰЙЫРАДЫ және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Павлодар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Павлодар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бюросының басшысы</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142</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"21" маусымдағы</w:t>
            </w:r>
            <w:r>
              <w:br/>
            </w:r>
            <w:r>
              <w:rPr>
                <w:rFonts w:ascii="Times New Roman"/>
                <w:b w:val="false"/>
                <w:i w:val="false"/>
                <w:color w:val="000000"/>
                <w:sz w:val="20"/>
              </w:rPr>
              <w:t>№ 4-03/9</w:t>
            </w:r>
            <w:r>
              <w:br/>
            </w:r>
            <w:r>
              <w:rPr>
                <w:rFonts w:ascii="Times New Roman"/>
                <w:b w:val="false"/>
                <w:i w:val="false"/>
                <w:color w:val="000000"/>
                <w:sz w:val="20"/>
              </w:rPr>
              <w:t>қаулысымен бекітілді</w:t>
            </w:r>
          </w:p>
        </w:tc>
      </w:tr>
    </w:tbl>
    <w:bookmarkStart w:name="z10" w:id="8"/>
    <w:p>
      <w:pPr>
        <w:spacing w:after="0"/>
        <w:ind w:left="0"/>
        <w:jc w:val="left"/>
      </w:pPr>
      <w:r>
        <w:rPr>
          <w:rFonts w:ascii="Times New Roman"/>
          <w:b/>
          <w:i w:val="false"/>
          <w:color w:val="000000"/>
        </w:rPr>
        <w:t xml:space="preserve"> Павлодар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Павлодар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Павлодар облысы әкімдігінен Павлодар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Павлодар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Павлодар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Павлодар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шілдедегі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