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47c5" w14:textId="10f4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Еңбекші ауылдық округінің жергілікті қоғамдастық жиналысының Регламентін бекіту туралы" № 24/10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14/37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Еңбекші ауылдық округінің жергілікті қоғамдастық жиналысының Регламентін бекіту туралы" </w:t>
      </w:r>
      <w:r>
        <w:rPr>
          <w:rFonts w:ascii="Times New Roman"/>
          <w:b w:val="false"/>
          <w:i w:val="false"/>
          <w:color w:val="000000"/>
          <w:sz w:val="28"/>
        </w:rPr>
        <w:t>№  24/10</w:t>
      </w:r>
      <w:r>
        <w:rPr>
          <w:rFonts w:ascii="Times New Roman"/>
          <w:b w:val="false"/>
          <w:i w:val="false"/>
          <w:color w:val="000000"/>
          <w:sz w:val="28"/>
        </w:rPr>
        <w:t xml:space="preserve"> (Нормативтік құқықтық актілердің мемлекеттік тіркеу тізілімінде № 6333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bookmarkEnd w:id="39"/>
    <w:bookmarkStart w:name="z48" w:id="40"/>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bookmarkEnd w:id="40"/>
    <w:bookmarkStart w:name="z49" w:id="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bookmarkStart w:name="z52" w:id="4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3"/>
    <w:bookmarkStart w:name="z53"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4" w:id="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5"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6"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