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957" w14:textId="07af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88 612,1 мың теңге, оның ішінде: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13 244,8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135 419,4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-46 807,3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46 807,3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–46 807,3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Ақай ауылдық округінің бюджетіне берілетін бюджеттік субвенция көлемі 51 789 мың теңге мөлшерінде белгіленгені ескерілсін.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Қазақстан Республикасының Ұлттық қорынан бөлінген мақсатты трансферттердің пайдаланылмаған (толық пайдаланылмаған) 38 833,7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5 492,0 мың теңгені аудандық бюджетке қайтару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Ақай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2-қосымша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3-қосымша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4-қосымша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республикалық бюджет есебінен қаралған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облыстық бюджет есебінен қаралған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6-қосымша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аудандық бюджет есебінен қаралған нысаналы трансферттер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 Ел бесігі бағдарламасы арқылы бөлінген Балғынбаев көшесіне орташа жөндеу жұмыстарын аяқтауға (төленбеген міндттемелер)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 аппаратының қызметтік автокөлігіне қосалқы автобөлшектер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ауылдық клуб үйіне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