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4b1" w14:textId="d448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2021 жылғы 27 қаңтардағы II сессиясының "2021-2023 жылдарға арналған кенттер, ауылдық округтер бюджеттері туралы" № 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27 шілдедегі № 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"2021-2023 жылдарға арналған кенттер, ауылдық округтер бюджеттері туралы" 2021 жылғы 27 қаңтардағы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202 634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199 887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202 635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223 323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219 608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223 536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213 321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56 916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61 064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-4 029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4 029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69 548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67 992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79 408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-9 860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9 860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9 860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82 376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81 254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82 386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63 704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62 832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66 291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-2 587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2 587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141 230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140 836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141 862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-632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632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51 681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51 016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51 917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53 488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1 364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52 124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52 313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50 801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52 315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100 624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98 874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100 624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49 511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48 877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49 520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62 049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60 974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62 053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99 001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98 080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99 016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2021-2023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66 028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64 557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66 029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2021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2021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2021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2021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2021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2021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2021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2021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2021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2021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2021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2021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2021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 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кенттер, ауылдық округтер бюджеттерінің құрамындағы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 үйді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қызметшілерге факторлы-балдық шәкіл негізінде бонус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