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5e7a" w14:textId="7165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2020 жылғы 30 желтоқсандағы № VI-65/545 "2021-2023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15 қарашадағы № VII-12/92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2020 жылғы 30 желтоқсандағы № VI-65/545 "2021-2023 жылдарға арналған аудандық маңызы бар қала, кент, ауылдық округтердің бюджеттері туралы" (Нормативтік құқықтық актілерді мемлекеттік тіркеу тізілімінде № 6144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782616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762186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793579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60471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58338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61053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72867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70995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74450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1583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66099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65396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67241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38946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37585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40021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52339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49428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53499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51343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50697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52565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1222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30429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30228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30800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60056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1365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58632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61275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-1219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1219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1219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2021-2023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51551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50925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52111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2021-2023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60870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1669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59061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62333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1463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1463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2021-2023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39555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39260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39749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2021-2023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41557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40354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43500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1943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1943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1943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2021-2023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62584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61657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62737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2021-2023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42405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40993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43534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-1129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1129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2021-2023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56554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55892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57254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 мың теңге.";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Қарқаралы қаласының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1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Қасым Аманжолов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2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Балқантау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Бақты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Бесоба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Ынталы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Қайнарбұлақ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4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Қоянды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34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Мартбек Мамыраев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34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Нығмет Нұрмақов атындағы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3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Тегісшілдік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35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Томар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35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Шарықты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36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Угар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VII-12/92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36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нысаналы трансферттер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