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a05c" w14:textId="07ba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2020 жылғы 28 желтоқсандағы № 67/535 "2021-2023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17 қарашадағы № 14/86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"2021-2023 жылдарға арналған кенттер және ауылдық округтердің бюджеті туралы" 2020 жылғы 28 желтоқсандағы № 67/535 (Нормативтік құқықтық актілерді мемлекеттік тіркеу тізілімінде № 6140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451 684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- 37 523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414 161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462 873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11 189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11 189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11 189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2021-2023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47 514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45 688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47 514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- 205 863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- 2 300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- 203 563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208 244 мың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2 381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2 381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2 381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2021-2023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57 114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55 864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57 114 мың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- 39 764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1 145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38 619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40 964 мың теңге;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1 200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2021-2023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202 189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1 468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200 721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203 617 мың теңге;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1 428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1 428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1 428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- 137 629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- 1 647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135 982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139 345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1 716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1 716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63 187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2 486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60 701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65 783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2 596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2 596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2 596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29 521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1 834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27 687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30 220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699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2021-2023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180 091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2 303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177 788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180 641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550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- 550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- 550 мың теңге.";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- 43 848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- 1 430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42 418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44 313 мың теңге;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465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- 465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- 465 мың теңге.";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2021-2023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51 531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1 043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50 488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51 964 мың теңге; 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433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 мың теңге.";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47 614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43 044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54 618 мың теңге;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7 004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7 004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7 004 мың теңге.";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44 774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1 626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43 148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44 774 мың теңге; 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Жаңаарқа кентінің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8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Ақтүбек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Байдалы би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Мұқажан Жұмажанов атындағы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Ералиев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Қараағаш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кентінің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Сейфуллин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1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Талдыбұлақ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Түгіскен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Орынбай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 №14/86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