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53de" w14:textId="0865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жауапты хатшысы міндетін атқарушысының және аппарат басшысының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аппарат Басшысының 2021 жылғы 31 желтоқсандағы № 531 бұйрығы.</w:t>
      </w:r>
    </w:p>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Мынадай бұйрықтардың: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 міндетін атқарушының 2019 жылғы 25 қыркүйектегі № 514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 міндетін атқарушының 2019 жылғы 25 қыркүйектегі № 514 бұйрығына өзгерістер енгізу туралы" Қазақстан Республикасы Еңбек және халықты әлеуметтік қорғау министрлігі аппарат басшысының 2021 жылғы 8 ақпандағы № 32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 міндетін атқарушының 2019 жылғы 25 қыркүйектегі № 514 бұйрығына өзгерістер енгізу туралы" Қазақстан Республикасы Еңбек және халықты әлеуметтік қорғау министрлігі аппарат басшысының 2021 жылғы 25 тамыздағы № 306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Start w:name="z5"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Кадр қызметі басқармасы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 қабылданған күннен бастап күнтізбелік он күн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7" w:id="3"/>
    <w:p>
      <w:pPr>
        <w:spacing w:after="0"/>
        <w:ind w:left="0"/>
        <w:jc w:val="both"/>
      </w:pPr>
      <w:r>
        <w:rPr>
          <w:rFonts w:ascii="Times New Roman"/>
          <w:b w:val="false"/>
          <w:i w:val="false"/>
          <w:color w:val="000000"/>
          <w:sz w:val="28"/>
        </w:rPr>
        <w:t>
      2) осы бұйрық қабылданған күннен бастап күнтізбелік он күн ішінде оны Қазақстан Республикасы Еңбек және халықты әлеуметтік қорғау министрлігінің интернет-ресурсына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