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c486" w14:textId="566c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қыркүйектегі № 272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алынып тасталсын.</w:t>
      </w:r>
    </w:p>
    <w:bookmarkStart w:name="z3" w:id="0"/>
    <w:p>
      <w:pPr>
        <w:spacing w:after="0"/>
        <w:ind w:left="0"/>
        <w:jc w:val="both"/>
      </w:pPr>
      <w:r>
        <w:rPr>
          <w:rFonts w:ascii="Times New Roman"/>
          <w:b w:val="false"/>
          <w:i w:val="false"/>
          <w:color w:val="000000"/>
          <w:sz w:val="28"/>
        </w:rPr>
        <w:t>
      мынадай мазмұндағы 26), 27), 28), 29) және 30) тармақшалармен толықтырылсын:</w:t>
      </w:r>
    </w:p>
    <w:bookmarkEnd w:id="0"/>
    <w:p>
      <w:pPr>
        <w:spacing w:after="0"/>
        <w:ind w:left="0"/>
        <w:jc w:val="both"/>
      </w:pPr>
      <w:r>
        <w:rPr>
          <w:rFonts w:ascii="Times New Roman"/>
          <w:b w:val="false"/>
          <w:i w:val="false"/>
          <w:color w:val="000000"/>
          <w:sz w:val="28"/>
        </w:rPr>
        <w:t>
      "26) техникалық реттеу саласындағы уәкілетті орган бекіткен қағидаларға сәйкес тиісті зертханалық практика қағидаттарын іске асырады;</w:t>
      </w:r>
    </w:p>
    <w:p>
      <w:pPr>
        <w:spacing w:after="0"/>
        <w:ind w:left="0"/>
        <w:jc w:val="both"/>
      </w:pPr>
      <w:r>
        <w:rPr>
          <w:rFonts w:ascii="Times New Roman"/>
          <w:b w:val="false"/>
          <w:i w:val="false"/>
          <w:color w:val="000000"/>
          <w:sz w:val="28"/>
        </w:rPr>
        <w:t>
      27) тиісті зертханалық практика саласындағы нормативтік-әдістемелік базаны әзірлейді (әзірлеуге қатысады);</w:t>
      </w:r>
    </w:p>
    <w:p>
      <w:pPr>
        <w:spacing w:after="0"/>
        <w:ind w:left="0"/>
        <w:jc w:val="both"/>
      </w:pPr>
      <w:r>
        <w:rPr>
          <w:rFonts w:ascii="Times New Roman"/>
          <w:b w:val="false"/>
          <w:i w:val="false"/>
          <w:color w:val="000000"/>
          <w:sz w:val="28"/>
        </w:rPr>
        <w:t>
      28) сәйкестікті міндетті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дайындайды;</w:t>
      </w:r>
    </w:p>
    <w:p>
      <w:pPr>
        <w:spacing w:after="0"/>
        <w:ind w:left="0"/>
        <w:jc w:val="both"/>
      </w:pPr>
      <w:r>
        <w:rPr>
          <w:rFonts w:ascii="Times New Roman"/>
          <w:b w:val="false"/>
          <w:i w:val="false"/>
          <w:color w:val="000000"/>
          <w:sz w:val="28"/>
        </w:rPr>
        <w:t>
      29)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p>
      <w:pPr>
        <w:spacing w:after="0"/>
        <w:ind w:left="0"/>
        <w:jc w:val="both"/>
      </w:pPr>
      <w:r>
        <w:rPr>
          <w:rFonts w:ascii="Times New Roman"/>
          <w:b w:val="false"/>
          <w:i w:val="false"/>
          <w:color w:val="000000"/>
          <w:sz w:val="28"/>
        </w:rPr>
        <w:t>
      30)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Министрліктің басшылығына Комитеттің құрылымы мен штаттық кестесі бойынша ұсыныстар береді;";</w:t>
      </w:r>
    </w:p>
    <w:bookmarkStart w:name="z6" w:id="1"/>
    <w:p>
      <w:pPr>
        <w:spacing w:after="0"/>
        <w:ind w:left="0"/>
        <w:jc w:val="both"/>
      </w:pPr>
      <w:r>
        <w:rPr>
          <w:rFonts w:ascii="Times New Roman"/>
          <w:b w:val="false"/>
          <w:i w:val="false"/>
          <w:color w:val="000000"/>
          <w:sz w:val="28"/>
        </w:rPr>
        <w:t>
      мынадай мазмұндағы 2-1) тармақшамен толықтырылсын:</w:t>
      </w:r>
    </w:p>
    <w:bookmarkEnd w:id="1"/>
    <w:p>
      <w:pPr>
        <w:spacing w:after="0"/>
        <w:ind w:left="0"/>
        <w:jc w:val="both"/>
      </w:pPr>
      <w:r>
        <w:rPr>
          <w:rFonts w:ascii="Times New Roman"/>
          <w:b w:val="false"/>
          <w:i w:val="false"/>
          <w:color w:val="000000"/>
          <w:sz w:val="28"/>
        </w:rPr>
        <w:t>
      "2-1) Комитеттің аумақтық бөлімшілерінің құрылымын және штаттық санын бекітеді;".</w:t>
      </w:r>
    </w:p>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